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BC11" w14:textId="2752D837" w:rsidR="00DB2D38" w:rsidRDefault="00B31D3C">
      <w:pPr>
        <w:pStyle w:val="BodyText"/>
        <w:spacing w:before="1"/>
        <w:rPr>
          <w:rFonts w:ascii="Times New Roman"/>
          <w:sz w:val="26"/>
        </w:rPr>
      </w:pPr>
      <w:r>
        <w:rPr>
          <w:noProof/>
        </w:rPr>
        <mc:AlternateContent>
          <mc:Choice Requires="wpg">
            <w:drawing>
              <wp:anchor distT="0" distB="0" distL="114300" distR="114300" simplePos="0" relativeHeight="1048" behindDoc="0" locked="0" layoutInCell="1" allowOverlap="1" wp14:anchorId="4A071C55" wp14:editId="02919D79">
                <wp:simplePos x="0" y="0"/>
                <wp:positionH relativeFrom="page">
                  <wp:posOffset>0</wp:posOffset>
                </wp:positionH>
                <wp:positionV relativeFrom="page">
                  <wp:posOffset>3930650</wp:posOffset>
                </wp:positionV>
                <wp:extent cx="10058400" cy="2126615"/>
                <wp:effectExtent l="0" t="0" r="0" b="63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2126615"/>
                          <a:chOff x="0" y="6190"/>
                          <a:chExt cx="15840" cy="3349"/>
                        </a:xfrm>
                      </wpg:grpSpPr>
                      <wps:wsp>
                        <wps:cNvPr id="6" name="Rectangle 4"/>
                        <wps:cNvSpPr>
                          <a:spLocks noChangeArrowheads="1"/>
                        </wps:cNvSpPr>
                        <wps:spPr bwMode="auto">
                          <a:xfrm>
                            <a:off x="0" y="6190"/>
                            <a:ext cx="15840" cy="334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3"/>
                        <wps:cNvSpPr txBox="1">
                          <a:spLocks noChangeArrowheads="1"/>
                        </wps:cNvSpPr>
                        <wps:spPr bwMode="auto">
                          <a:xfrm>
                            <a:off x="0" y="6190"/>
                            <a:ext cx="15840" cy="3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985C8" w14:textId="77777777" w:rsidR="00DB2D38" w:rsidRDefault="00DB2D38">
                              <w:pPr>
                                <w:spacing w:before="1"/>
                                <w:rPr>
                                  <w:rFonts w:ascii="Times New Roman"/>
                                  <w:sz w:val="51"/>
                                </w:rPr>
                              </w:pPr>
                            </w:p>
                            <w:p w14:paraId="003E0D9F" w14:textId="77777777" w:rsidR="00DB2D38" w:rsidRDefault="00394B9B">
                              <w:pPr>
                                <w:ind w:left="751" w:right="748"/>
                                <w:jc w:val="center"/>
                                <w:rPr>
                                  <w:b/>
                                  <w:sz w:val="48"/>
                                </w:rPr>
                              </w:pPr>
                              <w:r>
                                <w:rPr>
                                  <w:b/>
                                  <w:color w:val="FFFFFF"/>
                                  <w:sz w:val="48"/>
                                </w:rPr>
                                <w:t>City of Twin Falls</w:t>
                              </w:r>
                            </w:p>
                            <w:p w14:paraId="679D3692" w14:textId="7250C3EB" w:rsidR="00DB2D38" w:rsidRDefault="002157A9">
                              <w:pPr>
                                <w:spacing w:before="283"/>
                                <w:ind w:left="751" w:right="751"/>
                                <w:jc w:val="center"/>
                                <w:rPr>
                                  <w:b/>
                                  <w:sz w:val="48"/>
                                </w:rPr>
                              </w:pPr>
                              <w:r>
                                <w:rPr>
                                  <w:b/>
                                  <w:color w:val="FFFFFF"/>
                                  <w:sz w:val="48"/>
                                </w:rPr>
                                <w:t>202</w:t>
                              </w:r>
                              <w:r w:rsidR="0054389F">
                                <w:rPr>
                                  <w:b/>
                                  <w:color w:val="FFFFFF"/>
                                  <w:sz w:val="48"/>
                                </w:rPr>
                                <w:t>2</w:t>
                              </w:r>
                              <w:r w:rsidR="00394B9B">
                                <w:rPr>
                                  <w:b/>
                                  <w:color w:val="FFFFFF"/>
                                  <w:sz w:val="48"/>
                                </w:rPr>
                                <w:t xml:space="preserve"> Consolidated Annual Performance and Evaluation Report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71C55" id="Group 2" o:spid="_x0000_s1026" style="position:absolute;margin-left:0;margin-top:309.5pt;width:11in;height:167.45pt;z-index:1048;mso-position-horizontal-relative:page;mso-position-vertical-relative:page" coordorigin=",6190" coordsize="15840,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">
                <v:rect id="Rectangle 4" o:spid="_x0000_s1027" style="position:absolute;top:6190;width:15840;height: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" fillcolor="#4f81bc" stroked="f"/>
                <v:shapetype id="_x0000_t202" coordsize="21600,21600" o:spt="202" path="m,l,21600r21600,l21600,xe">
                  <v:stroke joinstyle="miter"/>
                  <v:path gradientshapeok="t" o:connecttype="rect"/>
                </v:shapetype>
                <v:shape id="Text Box 3" o:spid="_x0000_s1028" type="#_x0000_t202" style="position:absolute;top:6190;width:15840;height:3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96985C8" w14:textId="77777777" w:rsidR="00DB2D38" w:rsidRDefault="00DB2D38">
                        <w:pPr>
                          <w:spacing w:before="1"/>
                          <w:rPr>
                            <w:rFonts w:ascii="Times New Roman"/>
                            <w:sz w:val="51"/>
                          </w:rPr>
                        </w:pPr>
                      </w:p>
                      <w:p w14:paraId="003E0D9F" w14:textId="77777777" w:rsidR="00DB2D38" w:rsidRDefault="00394B9B">
                        <w:pPr>
                          <w:ind w:left="751" w:right="748"/>
                          <w:jc w:val="center"/>
                          <w:rPr>
                            <w:b/>
                            <w:sz w:val="48"/>
                          </w:rPr>
                        </w:pPr>
                        <w:r>
                          <w:rPr>
                            <w:b/>
                            <w:color w:val="FFFFFF"/>
                            <w:sz w:val="48"/>
                          </w:rPr>
                          <w:t>City of Twin Falls</w:t>
                        </w:r>
                      </w:p>
                      <w:p w14:paraId="679D3692" w14:textId="7250C3EB" w:rsidR="00DB2D38" w:rsidRDefault="002157A9">
                        <w:pPr>
                          <w:spacing w:before="283"/>
                          <w:ind w:left="751" w:right="751"/>
                          <w:jc w:val="center"/>
                          <w:rPr>
                            <w:b/>
                            <w:sz w:val="48"/>
                          </w:rPr>
                        </w:pPr>
                        <w:r>
                          <w:rPr>
                            <w:b/>
                            <w:color w:val="FFFFFF"/>
                            <w:sz w:val="48"/>
                          </w:rPr>
                          <w:t>202</w:t>
                        </w:r>
                        <w:r w:rsidR="0054389F">
                          <w:rPr>
                            <w:b/>
                            <w:color w:val="FFFFFF"/>
                            <w:sz w:val="48"/>
                          </w:rPr>
                          <w:t>2</w:t>
                        </w:r>
                        <w:r w:rsidR="00394B9B">
                          <w:rPr>
                            <w:b/>
                            <w:color w:val="FFFFFF"/>
                            <w:sz w:val="48"/>
                          </w:rPr>
                          <w:t xml:space="preserve"> Consolidated Annual Performance and Evaluation Report</w:t>
                        </w:r>
                      </w:p>
                    </w:txbxContent>
                  </v:textbox>
                </v:shape>
                <w10:wrap anchorx="page" anchory="page"/>
              </v:group>
            </w:pict>
          </mc:Fallback>
        </mc:AlternateContent>
      </w:r>
    </w:p>
    <w:p w14:paraId="76B892B1" w14:textId="77777777" w:rsidR="00DB2D38" w:rsidRDefault="00394B9B">
      <w:pPr>
        <w:pStyle w:val="BodyText"/>
        <w:ind w:left="5910"/>
        <w:rPr>
          <w:rFonts w:ascii="Times New Roman"/>
          <w:sz w:val="20"/>
        </w:rPr>
      </w:pPr>
      <w:r>
        <w:rPr>
          <w:rFonts w:ascii="Times New Roman"/>
          <w:noProof/>
          <w:sz w:val="20"/>
        </w:rPr>
        <w:drawing>
          <wp:inline distT="0" distB="0" distL="0" distR="0" wp14:anchorId="0DD6BF6D" wp14:editId="027A6436">
            <wp:extent cx="2752725" cy="2705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752725" cy="2705100"/>
                    </a:xfrm>
                    <a:prstGeom prst="rect">
                      <a:avLst/>
                    </a:prstGeom>
                  </pic:spPr>
                </pic:pic>
              </a:graphicData>
            </a:graphic>
          </wp:inline>
        </w:drawing>
      </w:r>
    </w:p>
    <w:p w14:paraId="3E485FB8" w14:textId="77777777" w:rsidR="00DB2D38" w:rsidRDefault="00DB2D38">
      <w:pPr>
        <w:pStyle w:val="BodyText"/>
        <w:rPr>
          <w:rFonts w:ascii="Times New Roman"/>
          <w:sz w:val="20"/>
        </w:rPr>
      </w:pPr>
    </w:p>
    <w:p w14:paraId="798CE0EB" w14:textId="77777777" w:rsidR="00DB2D38" w:rsidRDefault="00DB2D38">
      <w:pPr>
        <w:pStyle w:val="BodyText"/>
        <w:rPr>
          <w:rFonts w:ascii="Times New Roman"/>
          <w:sz w:val="20"/>
        </w:rPr>
      </w:pPr>
    </w:p>
    <w:p w14:paraId="2C9D97BA" w14:textId="77777777" w:rsidR="00DB2D38" w:rsidRDefault="00DB2D38">
      <w:pPr>
        <w:pStyle w:val="BodyText"/>
        <w:rPr>
          <w:rFonts w:ascii="Times New Roman"/>
          <w:sz w:val="20"/>
        </w:rPr>
      </w:pPr>
    </w:p>
    <w:p w14:paraId="34D273E4" w14:textId="77777777" w:rsidR="00DB2D38" w:rsidRDefault="00394B9B">
      <w:pPr>
        <w:pStyle w:val="Heading1"/>
        <w:spacing w:before="193"/>
      </w:pPr>
      <w:r>
        <w:t>CR-05 - Goals and Outcomes</w:t>
      </w:r>
    </w:p>
    <w:p w14:paraId="08B4C9F3" w14:textId="77777777" w:rsidR="00DB2D38" w:rsidRDefault="00394B9B">
      <w:pPr>
        <w:pStyle w:val="Heading2"/>
        <w:spacing w:before="109" w:line="293" w:lineRule="exact"/>
      </w:pPr>
      <w:r>
        <w:t>Progress the jurisdiction has made in carrying out its strategic plan and its action plan. 91.520(a)</w:t>
      </w:r>
    </w:p>
    <w:p w14:paraId="1AB413C5" w14:textId="77777777" w:rsidR="00DB2D38" w:rsidRDefault="00394B9B">
      <w:pPr>
        <w:ind w:left="1440"/>
        <w:rPr>
          <w:rFonts w:ascii="Calibri"/>
        </w:rPr>
      </w:pPr>
      <w:r>
        <w:rPr>
          <w:rFonts w:ascii="Calibri"/>
        </w:rPr>
        <w:t>This could be an overview that includes major initiatives and highlights that were proposed and executed throughout the program year.</w:t>
      </w:r>
    </w:p>
    <w:p w14:paraId="096731A7" w14:textId="77777777" w:rsidR="00DB2D38" w:rsidRDefault="00DB2D38">
      <w:pPr>
        <w:pStyle w:val="BodyText"/>
        <w:spacing w:before="2"/>
        <w:rPr>
          <w:rFonts w:ascii="Calibri"/>
        </w:rPr>
      </w:pPr>
    </w:p>
    <w:p w14:paraId="0D836221" w14:textId="1F7464A4" w:rsidR="002157A9" w:rsidRDefault="002157A9" w:rsidP="002157A9">
      <w:pPr>
        <w:pStyle w:val="BodyText"/>
        <w:ind w:left="1440" w:right="1436"/>
        <w:jc w:val="both"/>
      </w:pPr>
      <w:r>
        <w:t>The City of Twin Falls has completed the 2021 plan year of its Community Development Block Grant (CDBG) program year which began October 1</w:t>
      </w:r>
      <w:r w:rsidRPr="002157A9">
        <w:rPr>
          <w:vertAlign w:val="superscript"/>
        </w:rPr>
        <w:t>st</w:t>
      </w:r>
      <w:proofErr w:type="gramStart"/>
      <w:r>
        <w:t xml:space="preserve"> 2021</w:t>
      </w:r>
      <w:proofErr w:type="gramEnd"/>
      <w:r>
        <w:t xml:space="preserve"> and ended on September 30</w:t>
      </w:r>
      <w:r w:rsidRPr="002157A9">
        <w:rPr>
          <w:vertAlign w:val="superscript"/>
        </w:rPr>
        <w:t>th</w:t>
      </w:r>
      <w:r>
        <w:t>, 2022. As part of the CDBG Program, the City of Twin Falls is required to submit a Consolidated Annual Performance Evaluation Report (CAPER). This CAPER highlights the accomplishments</w:t>
      </w:r>
      <w:r>
        <w:rPr>
          <w:spacing w:val="-11"/>
        </w:rPr>
        <w:t xml:space="preserve"> </w:t>
      </w:r>
      <w:r>
        <w:t>of</w:t>
      </w:r>
      <w:r>
        <w:rPr>
          <w:spacing w:val="-11"/>
        </w:rPr>
        <w:t xml:space="preserve"> </w:t>
      </w:r>
      <w:r>
        <w:t>the</w:t>
      </w:r>
      <w:r>
        <w:rPr>
          <w:spacing w:val="-8"/>
        </w:rPr>
        <w:t xml:space="preserve"> </w:t>
      </w:r>
      <w:r>
        <w:t>CDBG</w:t>
      </w:r>
      <w:r>
        <w:rPr>
          <w:spacing w:val="-9"/>
        </w:rPr>
        <w:t xml:space="preserve"> </w:t>
      </w:r>
      <w:r>
        <w:t>Program</w:t>
      </w:r>
      <w:r>
        <w:rPr>
          <w:spacing w:val="-9"/>
        </w:rPr>
        <w:t xml:space="preserve"> </w:t>
      </w:r>
      <w:r>
        <w:t>for</w:t>
      </w:r>
      <w:r>
        <w:rPr>
          <w:spacing w:val="-10"/>
        </w:rPr>
        <w:t xml:space="preserve"> </w:t>
      </w:r>
      <w:r>
        <w:t>the</w:t>
      </w:r>
      <w:r>
        <w:rPr>
          <w:spacing w:val="-8"/>
        </w:rPr>
        <w:t xml:space="preserve"> </w:t>
      </w:r>
      <w:r>
        <w:t>past</w:t>
      </w:r>
      <w:r>
        <w:rPr>
          <w:spacing w:val="-9"/>
        </w:rPr>
        <w:t xml:space="preserve"> </w:t>
      </w:r>
      <w:r>
        <w:t>program</w:t>
      </w:r>
      <w:r>
        <w:rPr>
          <w:spacing w:val="-8"/>
        </w:rPr>
        <w:t xml:space="preserve"> </w:t>
      </w:r>
      <w:r>
        <w:t>year.</w:t>
      </w:r>
      <w:r>
        <w:rPr>
          <w:spacing w:val="-11"/>
        </w:rPr>
        <w:t xml:space="preserve"> </w:t>
      </w:r>
      <w:r>
        <w:t>The</w:t>
      </w:r>
      <w:r>
        <w:rPr>
          <w:spacing w:val="-8"/>
        </w:rPr>
        <w:t xml:space="preserve"> </w:t>
      </w:r>
      <w:r>
        <w:t>report</w:t>
      </w:r>
      <w:r>
        <w:rPr>
          <w:spacing w:val="-9"/>
        </w:rPr>
        <w:t xml:space="preserve"> </w:t>
      </w:r>
      <w:r>
        <w:t>shows</w:t>
      </w:r>
      <w:r>
        <w:rPr>
          <w:spacing w:val="-12"/>
        </w:rPr>
        <w:t xml:space="preserve"> </w:t>
      </w:r>
      <w:r>
        <w:t>expenditures</w:t>
      </w:r>
      <w:r>
        <w:rPr>
          <w:spacing w:val="-10"/>
        </w:rPr>
        <w:t xml:space="preserve"> </w:t>
      </w:r>
      <w:r>
        <w:t>and</w:t>
      </w:r>
      <w:r>
        <w:rPr>
          <w:spacing w:val="-11"/>
        </w:rPr>
        <w:t xml:space="preserve"> </w:t>
      </w:r>
      <w:r>
        <w:t>accomplishment</w:t>
      </w:r>
      <w:r>
        <w:rPr>
          <w:spacing w:val="-9"/>
        </w:rPr>
        <w:t xml:space="preserve"> </w:t>
      </w:r>
      <w:r>
        <w:t>for 2021 activities and the report evaluates the City’s progress in accomplishing its 2020-2024 Consolidated</w:t>
      </w:r>
      <w:r>
        <w:rPr>
          <w:spacing w:val="-21"/>
        </w:rPr>
        <w:t xml:space="preserve"> </w:t>
      </w:r>
      <w:r>
        <w:t>Plan.</w:t>
      </w:r>
    </w:p>
    <w:p w14:paraId="4A98721B" w14:textId="77777777" w:rsidR="002157A9" w:rsidRDefault="002157A9">
      <w:pPr>
        <w:pStyle w:val="BodyText"/>
        <w:ind w:left="1440" w:right="1436"/>
        <w:jc w:val="both"/>
      </w:pPr>
    </w:p>
    <w:p w14:paraId="150C30F6" w14:textId="77777777" w:rsidR="002157A9" w:rsidRDefault="002157A9" w:rsidP="002157A9">
      <w:pPr>
        <w:pStyle w:val="BodyText"/>
        <w:ind w:right="1436"/>
        <w:jc w:val="both"/>
      </w:pPr>
    </w:p>
    <w:p w14:paraId="344D08D1" w14:textId="77777777" w:rsidR="00DB2D38" w:rsidRDefault="00DB2D38">
      <w:pPr>
        <w:pStyle w:val="BodyText"/>
        <w:spacing w:before="10"/>
        <w:rPr>
          <w:sz w:val="22"/>
        </w:rPr>
      </w:pPr>
    </w:p>
    <w:p w14:paraId="1F7A9123" w14:textId="77777777" w:rsidR="003C62C2" w:rsidRDefault="003C62C2">
      <w:pPr>
        <w:pStyle w:val="Heading2"/>
        <w:ind w:right="2192"/>
      </w:pPr>
    </w:p>
    <w:p w14:paraId="7E3B278E" w14:textId="77777777" w:rsidR="003C62C2" w:rsidRDefault="003C62C2">
      <w:pPr>
        <w:pStyle w:val="Heading2"/>
        <w:ind w:right="2192"/>
      </w:pPr>
    </w:p>
    <w:p w14:paraId="0A581378" w14:textId="3C1EA20A" w:rsidR="00DB2D38" w:rsidRDefault="00394B9B">
      <w:pPr>
        <w:pStyle w:val="Heading2"/>
        <w:ind w:right="2192"/>
      </w:pPr>
      <w:r>
        <w:lastRenderedPageBreak/>
        <w:t>Comparison of the proposed versus actual outcomes for each outcome measure submitted with the consolidated plan and explain, if applicable, why progress was not made toward meeting goals and objectives. 91.520(g)</w:t>
      </w:r>
    </w:p>
    <w:p w14:paraId="402E6DA8" w14:textId="77777777" w:rsidR="002157A9" w:rsidRDefault="002157A9" w:rsidP="002157A9">
      <w:pPr>
        <w:pStyle w:val="Heading2"/>
        <w:ind w:right="2192"/>
        <w:jc w:val="both"/>
      </w:pPr>
    </w:p>
    <w:p w14:paraId="55B61E33" w14:textId="48024860" w:rsidR="00DB2D38" w:rsidRDefault="00394B9B" w:rsidP="002157A9">
      <w:pPr>
        <w:spacing w:line="268" w:lineRule="exact"/>
        <w:ind w:left="1440" w:right="1440"/>
        <w:jc w:val="both"/>
        <w:rPr>
          <w:sz w:val="24"/>
          <w:szCs w:val="24"/>
        </w:rPr>
      </w:pPr>
      <w:r w:rsidRPr="002157A9">
        <w:rPr>
          <w:sz w:val="24"/>
          <w:szCs w:val="24"/>
        </w:rPr>
        <w:t>Categories, priority levels, funding sources and amounts, outcomes/objectives, goal outcome indicators, units of measure, targets, actual</w:t>
      </w:r>
      <w:r w:rsidR="002157A9">
        <w:rPr>
          <w:sz w:val="24"/>
          <w:szCs w:val="24"/>
        </w:rPr>
        <w:t xml:space="preserve"> </w:t>
      </w:r>
      <w:r w:rsidRPr="002157A9">
        <w:rPr>
          <w:sz w:val="24"/>
          <w:szCs w:val="24"/>
        </w:rPr>
        <w:t>outcomes/outputs, and percentage completed for each of the grantee’s program year goals.</w:t>
      </w:r>
    </w:p>
    <w:p w14:paraId="1A9F54FB" w14:textId="6D8BED4F" w:rsidR="00CE7983" w:rsidRDefault="00CE7983" w:rsidP="002157A9">
      <w:pPr>
        <w:spacing w:line="268" w:lineRule="exact"/>
        <w:ind w:left="1440" w:right="1440"/>
        <w:jc w:val="both"/>
        <w:rPr>
          <w:sz w:val="24"/>
          <w:szCs w:val="24"/>
        </w:rPr>
      </w:pPr>
    </w:p>
    <w:p w14:paraId="2C1BDE85" w14:textId="443460AB" w:rsidR="00CE7983" w:rsidRDefault="00CE7983" w:rsidP="002157A9">
      <w:pPr>
        <w:spacing w:line="268" w:lineRule="exact"/>
        <w:ind w:left="1440" w:right="1440"/>
        <w:jc w:val="both"/>
        <w:rPr>
          <w:sz w:val="24"/>
          <w:szCs w:val="24"/>
        </w:rPr>
      </w:pPr>
    </w:p>
    <w:p w14:paraId="286D5D7C" w14:textId="06A81DF7" w:rsidR="00CE7983" w:rsidRDefault="00CE7983" w:rsidP="002157A9">
      <w:pPr>
        <w:spacing w:line="268" w:lineRule="exact"/>
        <w:ind w:left="1440" w:right="1440"/>
        <w:jc w:val="both"/>
        <w:rPr>
          <w:sz w:val="24"/>
          <w:szCs w:val="24"/>
        </w:rPr>
      </w:pPr>
    </w:p>
    <w:p w14:paraId="7A923DE1" w14:textId="575CE6EF" w:rsidR="00CE7983" w:rsidRDefault="00CE7983" w:rsidP="002157A9">
      <w:pPr>
        <w:spacing w:line="268" w:lineRule="exact"/>
        <w:ind w:left="1440" w:right="1440"/>
        <w:jc w:val="both"/>
        <w:rPr>
          <w:sz w:val="24"/>
          <w:szCs w:val="24"/>
        </w:rPr>
      </w:pPr>
    </w:p>
    <w:p w14:paraId="221444F4" w14:textId="77777777" w:rsidR="00CE7983" w:rsidRPr="002157A9" w:rsidRDefault="00CE7983" w:rsidP="002157A9">
      <w:pPr>
        <w:spacing w:line="268" w:lineRule="exact"/>
        <w:ind w:left="1440" w:right="1440"/>
        <w:jc w:val="both"/>
        <w:rPr>
          <w:sz w:val="24"/>
          <w:szCs w:val="24"/>
        </w:rPr>
      </w:pPr>
    </w:p>
    <w:p w14:paraId="222FD01C" w14:textId="77777777" w:rsidR="00DB2D38" w:rsidRDefault="00DB2D38">
      <w:pPr>
        <w:pStyle w:val="BodyText"/>
        <w:spacing w:before="7"/>
        <w:rPr>
          <w:rFonts w:ascii="Calibri"/>
        </w:rPr>
      </w:pPr>
    </w:p>
    <w:p w14:paraId="6401A730" w14:textId="14764330" w:rsidR="00DB2D38" w:rsidRDefault="00DB2D38">
      <w:pPr>
        <w:spacing w:before="2"/>
        <w:ind w:left="5129"/>
        <w:rPr>
          <w:rFonts w:ascii="Calibri" w:hAnsi="Calibri"/>
          <w:b/>
          <w:sz w:val="20"/>
        </w:rPr>
      </w:pPr>
    </w:p>
    <w:tbl>
      <w:tblPr>
        <w:tblStyle w:val="TableGrid"/>
        <w:tblpPr w:leftFromText="180" w:rightFromText="180" w:vertAnchor="text" w:horzAnchor="page" w:tblpX="1462" w:tblpY="-57"/>
        <w:tblW w:w="13728" w:type="dxa"/>
        <w:tblInd w:w="0" w:type="dxa"/>
        <w:tblLook w:val="04A0" w:firstRow="1" w:lastRow="0" w:firstColumn="1" w:lastColumn="0" w:noHBand="0" w:noVBand="1"/>
      </w:tblPr>
      <w:tblGrid>
        <w:gridCol w:w="2184"/>
        <w:gridCol w:w="1874"/>
        <w:gridCol w:w="1229"/>
        <w:gridCol w:w="1439"/>
        <w:gridCol w:w="1089"/>
        <w:gridCol w:w="975"/>
        <w:gridCol w:w="948"/>
        <w:gridCol w:w="1043"/>
        <w:gridCol w:w="975"/>
        <w:gridCol w:w="929"/>
        <w:gridCol w:w="1043"/>
      </w:tblGrid>
      <w:tr w:rsidR="000C3551" w:rsidRPr="000C3551" w14:paraId="1349DADA" w14:textId="77777777" w:rsidTr="00093921">
        <w:tc>
          <w:tcPr>
            <w:tcW w:w="1959" w:type="dxa"/>
          </w:tcPr>
          <w:p w14:paraId="1E8461DD" w14:textId="77777777" w:rsidR="000C3551" w:rsidRPr="000C3551" w:rsidRDefault="000C3551" w:rsidP="000C3551">
            <w:pPr>
              <w:keepNext/>
              <w:rPr>
                <w:rFonts w:ascii="Calibri" w:eastAsia="Times New Roman" w:hAnsi="Calibri" w:cs="Times New Roman"/>
                <w:b/>
                <w:lang w:bidi="ar-SA"/>
              </w:rPr>
            </w:pPr>
            <w:r w:rsidRPr="000C3551">
              <w:rPr>
                <w:rFonts w:ascii="Calibri" w:eastAsia="Times New Roman" w:hAnsi="Calibri" w:cs="Times New Roman"/>
                <w:b/>
                <w:lang w:bidi="ar-SA"/>
              </w:rPr>
              <w:lastRenderedPageBreak/>
              <w:t>Goal</w:t>
            </w:r>
          </w:p>
        </w:tc>
        <w:tc>
          <w:tcPr>
            <w:tcW w:w="2031" w:type="dxa"/>
          </w:tcPr>
          <w:p w14:paraId="57AB1B59" w14:textId="77777777" w:rsidR="000C3551" w:rsidRPr="000C3551" w:rsidRDefault="000C3551" w:rsidP="000C3551">
            <w:pPr>
              <w:keepNext/>
              <w:rPr>
                <w:rFonts w:ascii="Calibri" w:eastAsia="Times New Roman" w:hAnsi="Calibri" w:cs="Times New Roman"/>
                <w:b/>
                <w:lang w:bidi="ar-SA"/>
              </w:rPr>
            </w:pPr>
            <w:r w:rsidRPr="000C3551">
              <w:rPr>
                <w:rFonts w:ascii="Calibri" w:eastAsia="Times New Roman" w:hAnsi="Calibri" w:cs="Times New Roman"/>
                <w:b/>
                <w:lang w:bidi="ar-SA"/>
              </w:rPr>
              <w:t>Category</w:t>
            </w:r>
          </w:p>
        </w:tc>
        <w:tc>
          <w:tcPr>
            <w:tcW w:w="1231" w:type="dxa"/>
          </w:tcPr>
          <w:p w14:paraId="5A450AC9" w14:textId="77777777" w:rsidR="000C3551" w:rsidRPr="000C3551" w:rsidRDefault="000C3551" w:rsidP="000C3551">
            <w:pPr>
              <w:keepNext/>
              <w:rPr>
                <w:rFonts w:ascii="Calibri" w:eastAsia="Times New Roman" w:hAnsi="Calibri" w:cs="Times New Roman"/>
                <w:b/>
                <w:lang w:bidi="ar-SA"/>
              </w:rPr>
            </w:pPr>
            <w:r w:rsidRPr="000C3551">
              <w:rPr>
                <w:rFonts w:ascii="Calibri" w:eastAsia="Times New Roman" w:hAnsi="Calibri" w:cs="Times New Roman"/>
                <w:b/>
                <w:lang w:bidi="ar-SA"/>
              </w:rPr>
              <w:t>Source / Amount</w:t>
            </w:r>
          </w:p>
        </w:tc>
        <w:tc>
          <w:tcPr>
            <w:tcW w:w="1440" w:type="dxa"/>
          </w:tcPr>
          <w:p w14:paraId="25BB989D" w14:textId="77777777" w:rsidR="000C3551" w:rsidRPr="000C3551" w:rsidRDefault="000C3551" w:rsidP="000C3551">
            <w:pPr>
              <w:keepNext/>
              <w:rPr>
                <w:rFonts w:ascii="Calibri" w:eastAsia="Times New Roman" w:hAnsi="Calibri" w:cs="Times New Roman"/>
                <w:b/>
                <w:lang w:bidi="ar-SA"/>
              </w:rPr>
            </w:pPr>
            <w:r w:rsidRPr="000C3551">
              <w:rPr>
                <w:rFonts w:ascii="Calibri" w:eastAsia="Times New Roman" w:hAnsi="Calibri" w:cs="Times New Roman"/>
                <w:b/>
                <w:lang w:bidi="ar-SA"/>
              </w:rPr>
              <w:t>Indicator</w:t>
            </w:r>
          </w:p>
        </w:tc>
        <w:tc>
          <w:tcPr>
            <w:tcW w:w="1138" w:type="dxa"/>
          </w:tcPr>
          <w:p w14:paraId="28DA7F7A" w14:textId="77777777" w:rsidR="000C3551" w:rsidRPr="000C3551" w:rsidRDefault="000C3551" w:rsidP="000C3551">
            <w:pPr>
              <w:keepNext/>
              <w:rPr>
                <w:rFonts w:ascii="Calibri" w:eastAsia="Times New Roman" w:hAnsi="Calibri" w:cs="Times New Roman"/>
                <w:b/>
                <w:lang w:bidi="ar-SA"/>
              </w:rPr>
            </w:pPr>
            <w:r w:rsidRPr="000C3551">
              <w:rPr>
                <w:rFonts w:ascii="Calibri" w:eastAsia="Times New Roman" w:hAnsi="Calibri" w:cs="Times New Roman"/>
                <w:b/>
                <w:lang w:bidi="ar-SA"/>
              </w:rPr>
              <w:t>Unit of Measure</w:t>
            </w:r>
          </w:p>
        </w:tc>
        <w:tc>
          <w:tcPr>
            <w:tcW w:w="975" w:type="dxa"/>
          </w:tcPr>
          <w:p w14:paraId="615926E3" w14:textId="77777777" w:rsidR="000C3551" w:rsidRPr="000C3551" w:rsidRDefault="000C3551" w:rsidP="000C3551">
            <w:pPr>
              <w:keepNext/>
              <w:rPr>
                <w:rFonts w:ascii="Calibri" w:eastAsia="Times New Roman" w:hAnsi="Calibri" w:cs="Times New Roman"/>
                <w:b/>
                <w:lang w:bidi="ar-SA"/>
              </w:rPr>
            </w:pPr>
            <w:r w:rsidRPr="000C3551">
              <w:rPr>
                <w:rFonts w:ascii="Calibri" w:eastAsia="Times New Roman" w:hAnsi="Calibri" w:cs="Times New Roman"/>
                <w:b/>
                <w:lang w:bidi="ar-SA"/>
              </w:rPr>
              <w:t>Expected – Strategic Plan</w:t>
            </w:r>
          </w:p>
        </w:tc>
        <w:tc>
          <w:tcPr>
            <w:tcW w:w="948" w:type="dxa"/>
          </w:tcPr>
          <w:p w14:paraId="3435BBD1" w14:textId="77777777" w:rsidR="000C3551" w:rsidRPr="000C3551" w:rsidRDefault="000C3551" w:rsidP="000C3551">
            <w:pPr>
              <w:keepNext/>
              <w:rPr>
                <w:rFonts w:ascii="Calibri" w:eastAsia="Times New Roman" w:hAnsi="Calibri" w:cs="Times New Roman"/>
                <w:b/>
                <w:lang w:bidi="ar-SA"/>
              </w:rPr>
            </w:pPr>
            <w:r w:rsidRPr="000C3551">
              <w:rPr>
                <w:rFonts w:ascii="Calibri" w:eastAsia="Times New Roman" w:hAnsi="Calibri" w:cs="Times New Roman"/>
                <w:b/>
                <w:lang w:bidi="ar-SA"/>
              </w:rPr>
              <w:t>Actual – Strategic Plan</w:t>
            </w:r>
          </w:p>
        </w:tc>
        <w:tc>
          <w:tcPr>
            <w:tcW w:w="1051" w:type="dxa"/>
          </w:tcPr>
          <w:p w14:paraId="0C73033E" w14:textId="77777777" w:rsidR="000C3551" w:rsidRPr="000C3551" w:rsidRDefault="000C3551" w:rsidP="000C3551">
            <w:pPr>
              <w:keepNext/>
              <w:rPr>
                <w:rFonts w:ascii="Calibri" w:eastAsia="Times New Roman" w:hAnsi="Calibri" w:cs="Times New Roman"/>
                <w:b/>
                <w:lang w:bidi="ar-SA"/>
              </w:rPr>
            </w:pPr>
            <w:r w:rsidRPr="000C3551">
              <w:rPr>
                <w:rFonts w:ascii="Calibri" w:eastAsia="Times New Roman" w:hAnsi="Calibri" w:cs="Times New Roman"/>
                <w:b/>
                <w:lang w:bidi="ar-SA"/>
              </w:rPr>
              <w:t>Percent Complete</w:t>
            </w:r>
          </w:p>
        </w:tc>
        <w:tc>
          <w:tcPr>
            <w:tcW w:w="975" w:type="dxa"/>
          </w:tcPr>
          <w:p w14:paraId="33500B7C" w14:textId="77777777" w:rsidR="000C3551" w:rsidRPr="000C3551" w:rsidRDefault="000C3551" w:rsidP="000C3551">
            <w:pPr>
              <w:keepNext/>
              <w:rPr>
                <w:rFonts w:ascii="Calibri" w:eastAsia="Times New Roman" w:hAnsi="Calibri" w:cs="Times New Roman"/>
                <w:b/>
                <w:lang w:bidi="ar-SA"/>
              </w:rPr>
            </w:pPr>
            <w:r w:rsidRPr="000C3551">
              <w:rPr>
                <w:rFonts w:ascii="Calibri" w:eastAsia="Times New Roman" w:hAnsi="Calibri" w:cs="Times New Roman"/>
                <w:b/>
                <w:lang w:bidi="ar-SA"/>
              </w:rPr>
              <w:t>Expected – Program Year</w:t>
            </w:r>
          </w:p>
        </w:tc>
        <w:tc>
          <w:tcPr>
            <w:tcW w:w="929" w:type="dxa"/>
          </w:tcPr>
          <w:p w14:paraId="20D56319" w14:textId="77777777" w:rsidR="000C3551" w:rsidRPr="000C3551" w:rsidRDefault="000C3551" w:rsidP="000C3551">
            <w:pPr>
              <w:keepNext/>
              <w:rPr>
                <w:rFonts w:ascii="Calibri" w:eastAsia="Times New Roman" w:hAnsi="Calibri" w:cs="Times New Roman"/>
                <w:b/>
                <w:lang w:bidi="ar-SA"/>
              </w:rPr>
            </w:pPr>
            <w:r w:rsidRPr="000C3551">
              <w:rPr>
                <w:rFonts w:ascii="Calibri" w:eastAsia="Times New Roman" w:hAnsi="Calibri" w:cs="Times New Roman"/>
                <w:b/>
                <w:lang w:bidi="ar-SA"/>
              </w:rPr>
              <w:t>Actual – Program Year</w:t>
            </w:r>
          </w:p>
        </w:tc>
        <w:tc>
          <w:tcPr>
            <w:tcW w:w="1051" w:type="dxa"/>
          </w:tcPr>
          <w:p w14:paraId="354781C3" w14:textId="77777777" w:rsidR="000C3551" w:rsidRPr="000C3551" w:rsidRDefault="000C3551" w:rsidP="000C3551">
            <w:pPr>
              <w:keepNext/>
              <w:rPr>
                <w:rFonts w:ascii="Calibri" w:eastAsia="Times New Roman" w:hAnsi="Calibri" w:cs="Times New Roman"/>
                <w:b/>
                <w:lang w:bidi="ar-SA"/>
              </w:rPr>
            </w:pPr>
            <w:r w:rsidRPr="000C3551">
              <w:rPr>
                <w:rFonts w:ascii="Calibri" w:eastAsia="Times New Roman" w:hAnsi="Calibri" w:cs="Times New Roman"/>
                <w:b/>
                <w:lang w:bidi="ar-SA"/>
              </w:rPr>
              <w:t>Percent Complete</w:t>
            </w:r>
          </w:p>
        </w:tc>
      </w:tr>
      <w:tr w:rsidR="000C3551" w:rsidRPr="000C3551" w14:paraId="3706BFA0" w14:textId="77777777" w:rsidTr="00093921">
        <w:trPr>
          <w:cantSplit/>
        </w:trPr>
        <w:tc>
          <w:tcPr>
            <w:tcW w:w="0" w:type="auto"/>
            <w:vAlign w:val="center"/>
          </w:tcPr>
          <w:p w14:paraId="744C54AA" w14:textId="37DE0660"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 xml:space="preserve">COVID-19 Response </w:t>
            </w:r>
            <w:proofErr w:type="gramStart"/>
            <w:r w:rsidRPr="000C3551">
              <w:rPr>
                <w:rFonts w:ascii="Calibri" w:eastAsia="Times New Roman" w:hAnsi="Calibri" w:cs="Times New Roman"/>
                <w:color w:val="000000"/>
                <w:lang w:bidi="ar-SA"/>
              </w:rPr>
              <w:t xml:space="preserve">- </w:t>
            </w:r>
            <w:r w:rsidR="00093921" w:rsidRPr="000C3551">
              <w:rPr>
                <w:rFonts w:ascii="Calibri" w:eastAsia="Times New Roman" w:hAnsi="Calibri" w:cs="Times New Roman"/>
                <w:color w:val="000000"/>
                <w:lang w:bidi="ar-SA"/>
              </w:rPr>
              <w:t xml:space="preserve"> Public</w:t>
            </w:r>
            <w:proofErr w:type="gramEnd"/>
            <w:r w:rsidR="00093921" w:rsidRPr="000C3551">
              <w:rPr>
                <w:rFonts w:ascii="Calibri" w:eastAsia="Times New Roman" w:hAnsi="Calibri" w:cs="Times New Roman"/>
                <w:color w:val="000000"/>
                <w:lang w:bidi="ar-SA"/>
              </w:rPr>
              <w:t xml:space="preserve"> Facilities and Infrastructure</w:t>
            </w:r>
          </w:p>
        </w:tc>
        <w:tc>
          <w:tcPr>
            <w:tcW w:w="0" w:type="auto"/>
            <w:vAlign w:val="center"/>
          </w:tcPr>
          <w:p w14:paraId="2F58E982"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Non-Housing Community Development</w:t>
            </w:r>
          </w:p>
        </w:tc>
        <w:tc>
          <w:tcPr>
            <w:tcW w:w="1231" w:type="dxa"/>
            <w:vAlign w:val="center"/>
          </w:tcPr>
          <w:p w14:paraId="0102DB80" w14:textId="5FA45978"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CDBG-CV: $</w:t>
            </w:r>
            <w:r>
              <w:rPr>
                <w:rFonts w:ascii="Calibri" w:eastAsia="Times New Roman" w:hAnsi="Calibri" w:cs="Times New Roman"/>
                <w:color w:val="000000"/>
                <w:lang w:bidi="ar-SA"/>
              </w:rPr>
              <w:t xml:space="preserve"> </w:t>
            </w:r>
            <w:r w:rsidR="009E3E93">
              <w:rPr>
                <w:rFonts w:ascii="Calibri" w:eastAsia="Times New Roman" w:hAnsi="Calibri" w:cs="Times New Roman"/>
                <w:color w:val="000000"/>
                <w:lang w:bidi="ar-SA"/>
              </w:rPr>
              <w:t>$</w:t>
            </w:r>
            <w:r w:rsidR="00145CE4">
              <w:rPr>
                <w:rFonts w:ascii="Calibri" w:eastAsia="Times New Roman" w:hAnsi="Calibri" w:cs="Times New Roman"/>
                <w:color w:val="000000"/>
                <w:lang w:bidi="ar-SA"/>
              </w:rPr>
              <w:t>399,137</w:t>
            </w:r>
            <w:r>
              <w:rPr>
                <w:rFonts w:ascii="Calibri" w:eastAsia="Times New Roman" w:hAnsi="Calibri" w:cs="Times New Roman"/>
                <w:color w:val="000000"/>
                <w:lang w:bidi="ar-SA"/>
              </w:rPr>
              <w:t>.00</w:t>
            </w:r>
          </w:p>
        </w:tc>
        <w:tc>
          <w:tcPr>
            <w:tcW w:w="1440" w:type="dxa"/>
            <w:vAlign w:val="center"/>
          </w:tcPr>
          <w:p w14:paraId="65AB649C" w14:textId="4A380043" w:rsidR="000C3551" w:rsidRPr="000C3551" w:rsidRDefault="0009392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Public Facility or Infrastructure Activities other than Low/Moderate Income Housing Benefit</w:t>
            </w:r>
          </w:p>
        </w:tc>
        <w:tc>
          <w:tcPr>
            <w:tcW w:w="0" w:type="auto"/>
            <w:vAlign w:val="center"/>
          </w:tcPr>
          <w:p w14:paraId="7B3FADD4"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Persons Assisted</w:t>
            </w:r>
          </w:p>
        </w:tc>
        <w:tc>
          <w:tcPr>
            <w:tcW w:w="0" w:type="auto"/>
            <w:vAlign w:val="center"/>
          </w:tcPr>
          <w:p w14:paraId="54FC9EAB"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300</w:t>
            </w:r>
          </w:p>
        </w:tc>
        <w:tc>
          <w:tcPr>
            <w:tcW w:w="0" w:type="auto"/>
            <w:vAlign w:val="center"/>
          </w:tcPr>
          <w:p w14:paraId="7A5FDB50"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0</w:t>
            </w:r>
          </w:p>
        </w:tc>
        <w:tc>
          <w:tcPr>
            <w:tcW w:w="0" w:type="auto"/>
            <w:vAlign w:val="center"/>
          </w:tcPr>
          <w:p w14:paraId="4A6D7A0F"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 xml:space="preserve">         0.00%</w:t>
            </w:r>
          </w:p>
        </w:tc>
        <w:tc>
          <w:tcPr>
            <w:tcW w:w="0" w:type="auto"/>
            <w:vAlign w:val="center"/>
          </w:tcPr>
          <w:p w14:paraId="64F05DCD" w14:textId="616EDF3B"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 xml:space="preserve"> </w:t>
            </w:r>
            <w:r w:rsidR="00093921">
              <w:rPr>
                <w:rFonts w:ascii="Calibri" w:eastAsia="Times New Roman" w:hAnsi="Calibri" w:cs="Times New Roman"/>
                <w:color w:val="000000"/>
                <w:lang w:bidi="ar-SA"/>
              </w:rPr>
              <w:t>0</w:t>
            </w:r>
          </w:p>
        </w:tc>
        <w:tc>
          <w:tcPr>
            <w:tcW w:w="0" w:type="auto"/>
            <w:vAlign w:val="center"/>
          </w:tcPr>
          <w:p w14:paraId="744B5ED5" w14:textId="7576D2EA" w:rsidR="000C3551" w:rsidRPr="000C3551" w:rsidRDefault="00093921" w:rsidP="000C3551">
            <w:pPr>
              <w:spacing w:beforeAutospacing="1" w:afterAutospacing="1"/>
              <w:rPr>
                <w:rFonts w:ascii="Calibri" w:eastAsia="Times New Roman" w:hAnsi="Calibri" w:cs="Times New Roman"/>
                <w:lang w:bidi="ar-SA"/>
              </w:rPr>
            </w:pPr>
            <w:r>
              <w:rPr>
                <w:rFonts w:ascii="Calibri" w:eastAsia="Times New Roman" w:hAnsi="Calibri" w:cs="Times New Roman"/>
                <w:color w:val="000000"/>
                <w:lang w:bidi="ar-SA"/>
              </w:rPr>
              <w:t>0</w:t>
            </w:r>
            <w:r w:rsidR="000C3551" w:rsidRPr="000C3551">
              <w:rPr>
                <w:rFonts w:ascii="Calibri" w:eastAsia="Times New Roman" w:hAnsi="Calibri" w:cs="Times New Roman"/>
                <w:color w:val="000000"/>
                <w:lang w:bidi="ar-SA"/>
              </w:rPr>
              <w:t xml:space="preserve"> </w:t>
            </w:r>
          </w:p>
        </w:tc>
        <w:tc>
          <w:tcPr>
            <w:tcW w:w="0" w:type="auto"/>
            <w:vAlign w:val="center"/>
          </w:tcPr>
          <w:p w14:paraId="0A81F7A9" w14:textId="6A865E34"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 xml:space="preserve"> </w:t>
            </w:r>
            <w:r w:rsidR="00093921">
              <w:rPr>
                <w:rFonts w:ascii="Calibri" w:eastAsia="Times New Roman" w:hAnsi="Calibri" w:cs="Times New Roman"/>
                <w:color w:val="000000"/>
                <w:lang w:bidi="ar-SA"/>
              </w:rPr>
              <w:t>0</w:t>
            </w:r>
          </w:p>
        </w:tc>
      </w:tr>
      <w:tr w:rsidR="000C3551" w:rsidRPr="000C3551" w14:paraId="1E2DA13F" w14:textId="77777777" w:rsidTr="00093921">
        <w:trPr>
          <w:cantSplit/>
        </w:trPr>
        <w:tc>
          <w:tcPr>
            <w:tcW w:w="0" w:type="auto"/>
            <w:vAlign w:val="center"/>
          </w:tcPr>
          <w:p w14:paraId="348F4F41"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Program Administration</w:t>
            </w:r>
          </w:p>
        </w:tc>
        <w:tc>
          <w:tcPr>
            <w:tcW w:w="0" w:type="auto"/>
            <w:vAlign w:val="center"/>
          </w:tcPr>
          <w:p w14:paraId="78E03B77"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Program Administration</w:t>
            </w:r>
          </w:p>
        </w:tc>
        <w:tc>
          <w:tcPr>
            <w:tcW w:w="1231" w:type="dxa"/>
            <w:vAlign w:val="center"/>
          </w:tcPr>
          <w:p w14:paraId="4D562FAD" w14:textId="41C9CB98" w:rsidR="000C3551" w:rsidRPr="000C3551" w:rsidRDefault="000C3551" w:rsidP="000C3551">
            <w:pPr>
              <w:spacing w:beforeAutospacing="1" w:afterAutospacing="1"/>
              <w:rPr>
                <w:rFonts w:ascii="Calibri" w:eastAsia="Times New Roman" w:hAnsi="Calibri" w:cs="Times New Roman"/>
                <w:lang w:bidi="ar-SA"/>
              </w:rPr>
            </w:pPr>
            <w:r w:rsidRPr="009E3E93">
              <w:rPr>
                <w:rFonts w:ascii="Calibri" w:eastAsia="Times New Roman" w:hAnsi="Calibri" w:cs="Times New Roman"/>
                <w:color w:val="000000"/>
                <w:lang w:bidi="ar-SA"/>
              </w:rPr>
              <w:t xml:space="preserve">CDBG: $ </w:t>
            </w:r>
            <w:r w:rsidR="009E3E93">
              <w:rPr>
                <w:rFonts w:ascii="Calibri" w:eastAsia="Times New Roman" w:hAnsi="Calibri" w:cs="Times New Roman"/>
                <w:color w:val="000000"/>
                <w:lang w:bidi="ar-SA"/>
              </w:rPr>
              <w:t>$</w:t>
            </w:r>
            <w:r w:rsidR="009E3E93" w:rsidRPr="009E3E93">
              <w:rPr>
                <w:rFonts w:ascii="Calibri" w:eastAsia="Times New Roman" w:hAnsi="Calibri" w:cs="Times New Roman"/>
                <w:color w:val="000000"/>
                <w:lang w:bidi="ar-SA"/>
              </w:rPr>
              <w:t>.00</w:t>
            </w:r>
            <w:r w:rsidRPr="009E3E93">
              <w:rPr>
                <w:rFonts w:ascii="Calibri" w:eastAsia="Times New Roman" w:hAnsi="Calibri" w:cs="Times New Roman"/>
                <w:color w:val="000000"/>
                <w:lang w:bidi="ar-SA"/>
              </w:rPr>
              <w:t xml:space="preserve"> CDBG-CV: </w:t>
            </w:r>
            <w:r w:rsidR="009E3E93">
              <w:rPr>
                <w:rFonts w:ascii="Calibri" w:eastAsia="Times New Roman" w:hAnsi="Calibri" w:cs="Times New Roman"/>
                <w:color w:val="000000"/>
                <w:lang w:bidi="ar-SA"/>
              </w:rPr>
              <w:t>$.00</w:t>
            </w:r>
          </w:p>
        </w:tc>
        <w:tc>
          <w:tcPr>
            <w:tcW w:w="1440" w:type="dxa"/>
            <w:vAlign w:val="center"/>
          </w:tcPr>
          <w:p w14:paraId="7E6FEBF7"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Other</w:t>
            </w:r>
          </w:p>
        </w:tc>
        <w:tc>
          <w:tcPr>
            <w:tcW w:w="0" w:type="auto"/>
            <w:vAlign w:val="center"/>
          </w:tcPr>
          <w:p w14:paraId="26BC670E"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Other</w:t>
            </w:r>
          </w:p>
        </w:tc>
        <w:tc>
          <w:tcPr>
            <w:tcW w:w="0" w:type="auto"/>
            <w:vAlign w:val="center"/>
          </w:tcPr>
          <w:p w14:paraId="24CA5589"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1</w:t>
            </w:r>
          </w:p>
        </w:tc>
        <w:tc>
          <w:tcPr>
            <w:tcW w:w="0" w:type="auto"/>
            <w:vAlign w:val="center"/>
          </w:tcPr>
          <w:p w14:paraId="01402D42"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0</w:t>
            </w:r>
          </w:p>
        </w:tc>
        <w:tc>
          <w:tcPr>
            <w:tcW w:w="0" w:type="auto"/>
            <w:vAlign w:val="center"/>
          </w:tcPr>
          <w:p w14:paraId="1614F134"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 xml:space="preserve">         0.00%</w:t>
            </w:r>
          </w:p>
        </w:tc>
        <w:tc>
          <w:tcPr>
            <w:tcW w:w="0" w:type="auto"/>
            <w:vAlign w:val="center"/>
          </w:tcPr>
          <w:p w14:paraId="3C762285"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1</w:t>
            </w:r>
          </w:p>
        </w:tc>
        <w:tc>
          <w:tcPr>
            <w:tcW w:w="0" w:type="auto"/>
            <w:vAlign w:val="center"/>
          </w:tcPr>
          <w:p w14:paraId="1B172A5D"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0</w:t>
            </w:r>
          </w:p>
        </w:tc>
        <w:tc>
          <w:tcPr>
            <w:tcW w:w="0" w:type="auto"/>
            <w:vAlign w:val="center"/>
          </w:tcPr>
          <w:p w14:paraId="62C0EC14"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 xml:space="preserve">         0.00%</w:t>
            </w:r>
          </w:p>
        </w:tc>
      </w:tr>
      <w:tr w:rsidR="000C3551" w:rsidRPr="000C3551" w14:paraId="2124FC3F" w14:textId="77777777" w:rsidTr="00093921">
        <w:trPr>
          <w:cantSplit/>
        </w:trPr>
        <w:tc>
          <w:tcPr>
            <w:tcW w:w="0" w:type="auto"/>
            <w:vAlign w:val="center"/>
          </w:tcPr>
          <w:p w14:paraId="578FA987"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Public Facilities and Infrastructure</w:t>
            </w:r>
          </w:p>
        </w:tc>
        <w:tc>
          <w:tcPr>
            <w:tcW w:w="0" w:type="auto"/>
            <w:vAlign w:val="center"/>
          </w:tcPr>
          <w:p w14:paraId="3D67905C"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Non-Housing Community Development</w:t>
            </w:r>
          </w:p>
        </w:tc>
        <w:tc>
          <w:tcPr>
            <w:tcW w:w="1231" w:type="dxa"/>
            <w:vAlign w:val="center"/>
          </w:tcPr>
          <w:p w14:paraId="4919FDFA" w14:textId="6293CED6"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CDBG: $</w:t>
            </w:r>
            <w:r w:rsidR="00145CE4">
              <w:rPr>
                <w:rFonts w:ascii="Calibri" w:eastAsia="Times New Roman" w:hAnsi="Calibri" w:cs="Times New Roman"/>
                <w:color w:val="000000"/>
                <w:lang w:bidi="ar-SA"/>
              </w:rPr>
              <w:t>887,777</w:t>
            </w:r>
            <w:r>
              <w:rPr>
                <w:rFonts w:ascii="Calibri" w:eastAsia="Times New Roman" w:hAnsi="Calibri" w:cs="Times New Roman"/>
                <w:color w:val="000000"/>
                <w:lang w:bidi="ar-SA"/>
              </w:rPr>
              <w:t>.00</w:t>
            </w:r>
          </w:p>
        </w:tc>
        <w:tc>
          <w:tcPr>
            <w:tcW w:w="1440" w:type="dxa"/>
            <w:vAlign w:val="center"/>
          </w:tcPr>
          <w:p w14:paraId="05313086"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Public Facility or Infrastructure Activities other than Low/Moderate Income Housing Benefit</w:t>
            </w:r>
          </w:p>
        </w:tc>
        <w:tc>
          <w:tcPr>
            <w:tcW w:w="0" w:type="auto"/>
            <w:vAlign w:val="center"/>
          </w:tcPr>
          <w:p w14:paraId="4B1F29D8"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Persons Assisted</w:t>
            </w:r>
          </w:p>
        </w:tc>
        <w:tc>
          <w:tcPr>
            <w:tcW w:w="0" w:type="auto"/>
            <w:vAlign w:val="center"/>
          </w:tcPr>
          <w:p w14:paraId="059520E9"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5000</w:t>
            </w:r>
          </w:p>
        </w:tc>
        <w:tc>
          <w:tcPr>
            <w:tcW w:w="0" w:type="auto"/>
            <w:vAlign w:val="center"/>
          </w:tcPr>
          <w:p w14:paraId="451C2B2A"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0</w:t>
            </w:r>
          </w:p>
        </w:tc>
        <w:tc>
          <w:tcPr>
            <w:tcW w:w="0" w:type="auto"/>
            <w:vAlign w:val="center"/>
          </w:tcPr>
          <w:p w14:paraId="64B0BDA7"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 xml:space="preserve">         0.00%</w:t>
            </w:r>
          </w:p>
        </w:tc>
        <w:tc>
          <w:tcPr>
            <w:tcW w:w="0" w:type="auto"/>
            <w:vAlign w:val="center"/>
          </w:tcPr>
          <w:p w14:paraId="6B688FE0"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2910</w:t>
            </w:r>
          </w:p>
        </w:tc>
        <w:tc>
          <w:tcPr>
            <w:tcW w:w="0" w:type="auto"/>
            <w:vAlign w:val="center"/>
          </w:tcPr>
          <w:p w14:paraId="256466E8"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0</w:t>
            </w:r>
          </w:p>
        </w:tc>
        <w:tc>
          <w:tcPr>
            <w:tcW w:w="0" w:type="auto"/>
            <w:vAlign w:val="center"/>
          </w:tcPr>
          <w:p w14:paraId="17CCA6BA" w14:textId="77777777" w:rsidR="000C3551" w:rsidRPr="000C3551" w:rsidRDefault="000C3551" w:rsidP="000C3551">
            <w:pPr>
              <w:spacing w:beforeAutospacing="1" w:afterAutospacing="1"/>
              <w:rPr>
                <w:rFonts w:ascii="Calibri" w:eastAsia="Times New Roman" w:hAnsi="Calibri" w:cs="Times New Roman"/>
                <w:lang w:bidi="ar-SA"/>
              </w:rPr>
            </w:pPr>
            <w:r w:rsidRPr="000C3551">
              <w:rPr>
                <w:rFonts w:ascii="Calibri" w:eastAsia="Times New Roman" w:hAnsi="Calibri" w:cs="Times New Roman"/>
                <w:color w:val="000000"/>
                <w:lang w:bidi="ar-SA"/>
              </w:rPr>
              <w:t xml:space="preserve">         0.00%</w:t>
            </w:r>
          </w:p>
        </w:tc>
      </w:tr>
    </w:tbl>
    <w:p w14:paraId="338CAFCF" w14:textId="77777777" w:rsidR="000C3551" w:rsidRDefault="000C3551">
      <w:pPr>
        <w:rPr>
          <w:rFonts w:ascii="Calibri" w:hAnsi="Calibri"/>
          <w:sz w:val="20"/>
        </w:rPr>
      </w:pPr>
    </w:p>
    <w:p w14:paraId="07E6286A" w14:textId="77777777" w:rsidR="00B5310A" w:rsidRDefault="00B5310A">
      <w:pPr>
        <w:rPr>
          <w:rFonts w:ascii="Calibri" w:hAnsi="Calibri"/>
          <w:sz w:val="20"/>
        </w:rPr>
      </w:pPr>
    </w:p>
    <w:p w14:paraId="0C99B2FF" w14:textId="62E1B0BE" w:rsidR="00B5310A" w:rsidRDefault="000C3551" w:rsidP="000C3551">
      <w:pPr>
        <w:ind w:left="5040"/>
        <w:rPr>
          <w:rFonts w:ascii="Calibri" w:hAnsi="Calibri"/>
          <w:b/>
          <w:sz w:val="20"/>
        </w:rPr>
      </w:pPr>
      <w:r>
        <w:rPr>
          <w:rFonts w:ascii="Calibri" w:hAnsi="Calibri"/>
          <w:b/>
          <w:sz w:val="20"/>
        </w:rPr>
        <w:t>Accomplishments – Program Year &amp; Strategic Plan to Date – Table 1</w:t>
      </w:r>
    </w:p>
    <w:p w14:paraId="37FDFBB7" w14:textId="77777777" w:rsidR="000C3551" w:rsidRDefault="000C3551">
      <w:pPr>
        <w:rPr>
          <w:rFonts w:ascii="Calibri" w:hAnsi="Calibri"/>
          <w:b/>
          <w:sz w:val="20"/>
        </w:rPr>
      </w:pPr>
    </w:p>
    <w:p w14:paraId="2EB57509" w14:textId="77777777" w:rsidR="000C3551" w:rsidRDefault="000C3551">
      <w:pPr>
        <w:rPr>
          <w:rFonts w:ascii="Calibri" w:hAnsi="Calibri"/>
          <w:b/>
          <w:sz w:val="20"/>
        </w:rPr>
      </w:pPr>
    </w:p>
    <w:p w14:paraId="76300FAC" w14:textId="77777777" w:rsidR="000C3551" w:rsidRDefault="000C3551">
      <w:pPr>
        <w:rPr>
          <w:rFonts w:ascii="Calibri" w:hAnsi="Calibri"/>
          <w:b/>
          <w:sz w:val="20"/>
        </w:rPr>
      </w:pPr>
    </w:p>
    <w:p w14:paraId="2E77C0FE" w14:textId="02579D09" w:rsidR="000C3551" w:rsidRDefault="000C3551">
      <w:pPr>
        <w:rPr>
          <w:rFonts w:ascii="Calibri" w:hAnsi="Calibri"/>
          <w:sz w:val="20"/>
        </w:rPr>
        <w:sectPr w:rsidR="000C3551">
          <w:footerReference w:type="default" r:id="rId7"/>
          <w:pgSz w:w="15840" w:h="12240" w:orient="landscape"/>
          <w:pgMar w:top="1140" w:right="0" w:bottom="1280" w:left="0" w:header="0" w:footer="1009" w:gutter="0"/>
          <w:cols w:space="720"/>
        </w:sectPr>
      </w:pPr>
    </w:p>
    <w:p w14:paraId="4333A0F9" w14:textId="77777777" w:rsidR="00DB2D38" w:rsidRDefault="00DB2D38">
      <w:pPr>
        <w:pStyle w:val="BodyText"/>
        <w:rPr>
          <w:rFonts w:ascii="Calibri"/>
          <w:b/>
          <w:sz w:val="20"/>
        </w:rPr>
      </w:pPr>
    </w:p>
    <w:p w14:paraId="2EB33BFC" w14:textId="77777777" w:rsidR="00DB2D38" w:rsidRDefault="00DB2D38">
      <w:pPr>
        <w:pStyle w:val="BodyText"/>
        <w:rPr>
          <w:rFonts w:ascii="Calibri"/>
          <w:b/>
          <w:sz w:val="20"/>
        </w:rPr>
      </w:pPr>
    </w:p>
    <w:p w14:paraId="2D110FFC" w14:textId="77777777" w:rsidR="00DB2D38" w:rsidRDefault="00DB2D38">
      <w:pPr>
        <w:pStyle w:val="BodyText"/>
        <w:rPr>
          <w:rFonts w:ascii="Calibri"/>
          <w:b/>
          <w:sz w:val="20"/>
        </w:rPr>
      </w:pPr>
    </w:p>
    <w:p w14:paraId="029EFD6F" w14:textId="77777777" w:rsidR="00DB2D38" w:rsidRDefault="00DB2D38">
      <w:pPr>
        <w:pStyle w:val="BodyText"/>
        <w:rPr>
          <w:rFonts w:ascii="Calibri"/>
          <w:b/>
        </w:rPr>
      </w:pPr>
    </w:p>
    <w:p w14:paraId="286D385C" w14:textId="77777777" w:rsidR="00DB2D38" w:rsidRDefault="00394B9B">
      <w:pPr>
        <w:pStyle w:val="Heading2"/>
        <w:spacing w:before="52" w:line="276" w:lineRule="auto"/>
        <w:ind w:right="1377"/>
      </w:pPr>
      <w:r>
        <w:t>Assess how the jurisdiction’s use of funds, particularly CDBG, addresses the priorities and specific objectives identified in the plan, giving special attention to the highest priority activities identified.</w:t>
      </w:r>
    </w:p>
    <w:p w14:paraId="40262477" w14:textId="00F673C6" w:rsidR="00DB2D38" w:rsidRDefault="00394B9B" w:rsidP="00675659">
      <w:pPr>
        <w:pStyle w:val="BodyText"/>
        <w:spacing w:before="201" w:line="204" w:lineRule="auto"/>
        <w:ind w:left="1440" w:right="1599"/>
        <w:jc w:val="both"/>
        <w:rPr>
          <w:sz w:val="25"/>
        </w:rPr>
      </w:pPr>
      <w:r>
        <w:t>The PY</w:t>
      </w:r>
      <w:r w:rsidR="002157A9">
        <w:t>202</w:t>
      </w:r>
      <w:r w:rsidR="00145CE4">
        <w:t>2</w:t>
      </w:r>
      <w:r>
        <w:t xml:space="preserve"> Consolidated Annual Performance and Evaluation Report (CAPER) addresses the priorities identified in the PY</w:t>
      </w:r>
      <w:r w:rsidR="002157A9">
        <w:t>202</w:t>
      </w:r>
      <w:r w:rsidR="00145CE4">
        <w:t>2</w:t>
      </w:r>
      <w:r>
        <w:t xml:space="preserve"> Annual Action Plan and the PY2020-202</w:t>
      </w:r>
      <w:r w:rsidR="00145CE4">
        <w:t>4</w:t>
      </w:r>
      <w:r>
        <w:t xml:space="preserve"> Consolidated Plan. The priorities for PY</w:t>
      </w:r>
      <w:r w:rsidR="002157A9">
        <w:t>202</w:t>
      </w:r>
      <w:r w:rsidR="00145CE4">
        <w:t>2</w:t>
      </w:r>
      <w:r>
        <w:t xml:space="preserve"> were identified as housing rehabilitation, homelessness prevention, repair, and construction of sidewalks in LMI neighborhoods to increase mobility, and public service activities (partners have not yet been identified).</w:t>
      </w:r>
      <w:r w:rsidR="00BA2DAD">
        <w:t xml:space="preserve"> Part of identifying what was needing to be changed as part of the city’s Annual Action Plans in the future has been using the CAPER to assess those needs </w:t>
      </w:r>
      <w:r w:rsidR="00093921">
        <w:t>and how</w:t>
      </w:r>
      <w:r w:rsidR="00BA2DAD">
        <w:t xml:space="preserve"> money can be </w:t>
      </w:r>
      <w:proofErr w:type="gramStart"/>
      <w:r w:rsidR="00BA2DAD">
        <w:t>reallocated  by</w:t>
      </w:r>
      <w:proofErr w:type="gramEnd"/>
      <w:r w:rsidR="00BA2DAD">
        <w:t xml:space="preserve"> creating new priorities from the PY2020-202</w:t>
      </w:r>
      <w:r w:rsidR="00145CE4">
        <w:t>4</w:t>
      </w:r>
      <w:r w:rsidR="00BA2DAD">
        <w:t xml:space="preserve"> Consolidated Pl</w:t>
      </w:r>
      <w:r w:rsidR="00987A4D">
        <w:t xml:space="preserve">an.  Due to the </w:t>
      </w:r>
      <w:r w:rsidR="003C62C2">
        <w:t xml:space="preserve">challenges that the city has faced in the original creation of the Consolidated Plan and Annual Action Plan presented in the 2020 CAPER the City has </w:t>
      </w:r>
      <w:r w:rsidR="000F48BA">
        <w:t xml:space="preserve">action </w:t>
      </w:r>
      <w:r w:rsidR="003C62C2">
        <w:t>in PY2021 to amend the Consolidated Plan and previously approved Annual Action Plans to change pri</w:t>
      </w:r>
      <w:r w:rsidR="000F48BA">
        <w:t>orities</w:t>
      </w:r>
      <w:r w:rsidR="003C62C2">
        <w:t xml:space="preserve"> and proposed activities.</w:t>
      </w:r>
      <w:r w:rsidR="000F48BA">
        <w:t xml:space="preserve"> Substantial Amendments were made to remove Housing Rehabilitation and Public Services as goals and to refocus the allocation of funds towards Public Facilities and Infrastructure. </w:t>
      </w:r>
    </w:p>
    <w:p w14:paraId="1251BD44" w14:textId="77777777" w:rsidR="00DB2D38" w:rsidRDefault="00394B9B">
      <w:pPr>
        <w:pStyle w:val="Heading1"/>
        <w:jc w:val="both"/>
      </w:pPr>
      <w:r>
        <w:t xml:space="preserve">CR-10 - Racial and Ethnic composition of families </w:t>
      </w:r>
      <w:proofErr w:type="gramStart"/>
      <w:r>
        <w:t>assisted</w:t>
      </w:r>
      <w:proofErr w:type="gramEnd"/>
    </w:p>
    <w:p w14:paraId="64D69532" w14:textId="77777777" w:rsidR="00DB2D38" w:rsidRDefault="00394B9B">
      <w:pPr>
        <w:pStyle w:val="Heading2"/>
        <w:spacing w:before="109"/>
        <w:jc w:val="both"/>
      </w:pPr>
      <w:r>
        <w:t>Describe the families assisted (including the racial and ethnic status of families assisted). 91.520(a)</w:t>
      </w:r>
    </w:p>
    <w:p w14:paraId="1726818C" w14:textId="77777777" w:rsidR="00DB2D38" w:rsidRDefault="00DB2D38">
      <w:pPr>
        <w:pStyle w:val="BodyText"/>
        <w:spacing w:before="1"/>
        <w:rPr>
          <w:rFonts w:ascii="Calibri"/>
          <w:b/>
          <w:sz w:val="20"/>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5"/>
        <w:gridCol w:w="2117"/>
      </w:tblGrid>
      <w:tr w:rsidR="00DB2D38" w14:paraId="184517BD" w14:textId="77777777">
        <w:trPr>
          <w:trHeight w:val="309"/>
        </w:trPr>
        <w:tc>
          <w:tcPr>
            <w:tcW w:w="6515" w:type="dxa"/>
          </w:tcPr>
          <w:p w14:paraId="3B449E4B" w14:textId="77777777" w:rsidR="00DB2D38" w:rsidRDefault="00DB2D38">
            <w:pPr>
              <w:pStyle w:val="TableParagraph"/>
              <w:rPr>
                <w:rFonts w:ascii="Times New Roman"/>
              </w:rPr>
            </w:pPr>
          </w:p>
        </w:tc>
        <w:tc>
          <w:tcPr>
            <w:tcW w:w="2117" w:type="dxa"/>
          </w:tcPr>
          <w:p w14:paraId="52797332" w14:textId="77777777" w:rsidR="00DB2D38" w:rsidRDefault="00394B9B">
            <w:pPr>
              <w:pStyle w:val="TableParagraph"/>
              <w:spacing w:line="268" w:lineRule="exact"/>
              <w:ind w:left="778" w:right="769"/>
              <w:jc w:val="center"/>
              <w:rPr>
                <w:b/>
              </w:rPr>
            </w:pPr>
            <w:r>
              <w:rPr>
                <w:b/>
              </w:rPr>
              <w:t>CDBG</w:t>
            </w:r>
          </w:p>
        </w:tc>
      </w:tr>
      <w:tr w:rsidR="00DB2D38" w14:paraId="29A83AF4" w14:textId="77777777">
        <w:trPr>
          <w:trHeight w:val="309"/>
        </w:trPr>
        <w:tc>
          <w:tcPr>
            <w:tcW w:w="6515" w:type="dxa"/>
          </w:tcPr>
          <w:p w14:paraId="2DAC6795" w14:textId="77777777" w:rsidR="00DB2D38" w:rsidRDefault="00394B9B">
            <w:pPr>
              <w:pStyle w:val="TableParagraph"/>
              <w:spacing w:line="268" w:lineRule="exact"/>
              <w:ind w:left="115"/>
            </w:pPr>
            <w:r>
              <w:t>White</w:t>
            </w:r>
          </w:p>
        </w:tc>
        <w:tc>
          <w:tcPr>
            <w:tcW w:w="2117" w:type="dxa"/>
          </w:tcPr>
          <w:p w14:paraId="4A0E8244" w14:textId="77777777" w:rsidR="00DB2D38" w:rsidRDefault="00394B9B">
            <w:pPr>
              <w:pStyle w:val="TableParagraph"/>
              <w:spacing w:line="268" w:lineRule="exact"/>
              <w:ind w:right="102"/>
              <w:jc w:val="right"/>
            </w:pPr>
            <w:r>
              <w:t>0</w:t>
            </w:r>
          </w:p>
        </w:tc>
      </w:tr>
      <w:tr w:rsidR="00DB2D38" w14:paraId="786C105C" w14:textId="77777777">
        <w:trPr>
          <w:trHeight w:val="309"/>
        </w:trPr>
        <w:tc>
          <w:tcPr>
            <w:tcW w:w="6515" w:type="dxa"/>
          </w:tcPr>
          <w:p w14:paraId="35EA6AB9" w14:textId="77777777" w:rsidR="00DB2D38" w:rsidRDefault="00394B9B">
            <w:pPr>
              <w:pStyle w:val="TableParagraph"/>
              <w:spacing w:line="268" w:lineRule="exact"/>
              <w:ind w:left="115"/>
            </w:pPr>
            <w:r>
              <w:t>Black or African American</w:t>
            </w:r>
          </w:p>
        </w:tc>
        <w:tc>
          <w:tcPr>
            <w:tcW w:w="2117" w:type="dxa"/>
          </w:tcPr>
          <w:p w14:paraId="7D0D0B01" w14:textId="77777777" w:rsidR="00DB2D38" w:rsidRDefault="00394B9B">
            <w:pPr>
              <w:pStyle w:val="TableParagraph"/>
              <w:spacing w:line="268" w:lineRule="exact"/>
              <w:ind w:right="102"/>
              <w:jc w:val="right"/>
            </w:pPr>
            <w:r>
              <w:t>0</w:t>
            </w:r>
          </w:p>
        </w:tc>
      </w:tr>
      <w:tr w:rsidR="00DB2D38" w14:paraId="4ACC75EB" w14:textId="77777777">
        <w:trPr>
          <w:trHeight w:val="309"/>
        </w:trPr>
        <w:tc>
          <w:tcPr>
            <w:tcW w:w="6515" w:type="dxa"/>
          </w:tcPr>
          <w:p w14:paraId="64BC81F2" w14:textId="77777777" w:rsidR="00DB2D38" w:rsidRDefault="00394B9B">
            <w:pPr>
              <w:pStyle w:val="TableParagraph"/>
              <w:spacing w:line="268" w:lineRule="exact"/>
              <w:ind w:left="115"/>
            </w:pPr>
            <w:r>
              <w:t>Asian</w:t>
            </w:r>
          </w:p>
        </w:tc>
        <w:tc>
          <w:tcPr>
            <w:tcW w:w="2117" w:type="dxa"/>
          </w:tcPr>
          <w:p w14:paraId="2ED209BD" w14:textId="77777777" w:rsidR="00DB2D38" w:rsidRDefault="00394B9B">
            <w:pPr>
              <w:pStyle w:val="TableParagraph"/>
              <w:spacing w:line="268" w:lineRule="exact"/>
              <w:ind w:right="102"/>
              <w:jc w:val="right"/>
            </w:pPr>
            <w:r>
              <w:t>0</w:t>
            </w:r>
          </w:p>
        </w:tc>
      </w:tr>
      <w:tr w:rsidR="00DB2D38" w14:paraId="53EDEF10" w14:textId="77777777">
        <w:trPr>
          <w:trHeight w:val="306"/>
        </w:trPr>
        <w:tc>
          <w:tcPr>
            <w:tcW w:w="6515" w:type="dxa"/>
          </w:tcPr>
          <w:p w14:paraId="20D4A58B" w14:textId="77777777" w:rsidR="00DB2D38" w:rsidRDefault="00394B9B">
            <w:pPr>
              <w:pStyle w:val="TableParagraph"/>
              <w:spacing w:line="268" w:lineRule="exact"/>
              <w:ind w:left="115"/>
            </w:pPr>
            <w:r>
              <w:t>American Indian or American Native</w:t>
            </w:r>
          </w:p>
        </w:tc>
        <w:tc>
          <w:tcPr>
            <w:tcW w:w="2117" w:type="dxa"/>
          </w:tcPr>
          <w:p w14:paraId="18DF91ED" w14:textId="77777777" w:rsidR="00DB2D38" w:rsidRDefault="00394B9B">
            <w:pPr>
              <w:pStyle w:val="TableParagraph"/>
              <w:spacing w:line="268" w:lineRule="exact"/>
              <w:ind w:right="102"/>
              <w:jc w:val="right"/>
            </w:pPr>
            <w:r>
              <w:t>0</w:t>
            </w:r>
          </w:p>
        </w:tc>
      </w:tr>
      <w:tr w:rsidR="00DB2D38" w14:paraId="6B4A66DB" w14:textId="77777777">
        <w:trPr>
          <w:trHeight w:val="308"/>
        </w:trPr>
        <w:tc>
          <w:tcPr>
            <w:tcW w:w="6515" w:type="dxa"/>
            <w:tcBorders>
              <w:bottom w:val="single" w:sz="8" w:space="0" w:color="000000"/>
            </w:tcBorders>
          </w:tcPr>
          <w:p w14:paraId="69F91AF7" w14:textId="77777777" w:rsidR="00DB2D38" w:rsidRDefault="00394B9B">
            <w:pPr>
              <w:pStyle w:val="TableParagraph"/>
              <w:spacing w:before="1"/>
              <w:ind w:left="115"/>
            </w:pPr>
            <w:r>
              <w:t>Native Hawaiian or Other Pacific Islander</w:t>
            </w:r>
          </w:p>
        </w:tc>
        <w:tc>
          <w:tcPr>
            <w:tcW w:w="2117" w:type="dxa"/>
            <w:tcBorders>
              <w:bottom w:val="single" w:sz="8" w:space="0" w:color="000000"/>
            </w:tcBorders>
          </w:tcPr>
          <w:p w14:paraId="148C73FD" w14:textId="77777777" w:rsidR="00DB2D38" w:rsidRDefault="00394B9B">
            <w:pPr>
              <w:pStyle w:val="TableParagraph"/>
              <w:spacing w:before="1"/>
              <w:ind w:right="102"/>
              <w:jc w:val="right"/>
            </w:pPr>
            <w:r>
              <w:t>0</w:t>
            </w:r>
          </w:p>
        </w:tc>
      </w:tr>
      <w:tr w:rsidR="00DB2D38" w14:paraId="5B80C018" w14:textId="77777777">
        <w:trPr>
          <w:trHeight w:val="308"/>
        </w:trPr>
        <w:tc>
          <w:tcPr>
            <w:tcW w:w="6515" w:type="dxa"/>
            <w:tcBorders>
              <w:top w:val="single" w:sz="8" w:space="0" w:color="000000"/>
              <w:bottom w:val="single" w:sz="8" w:space="0" w:color="000000"/>
            </w:tcBorders>
          </w:tcPr>
          <w:p w14:paraId="2058D75F" w14:textId="77777777" w:rsidR="00DB2D38" w:rsidRDefault="00394B9B">
            <w:pPr>
              <w:pStyle w:val="TableParagraph"/>
              <w:spacing w:before="1"/>
              <w:ind w:left="115"/>
              <w:rPr>
                <w:b/>
              </w:rPr>
            </w:pPr>
            <w:r>
              <w:rPr>
                <w:b/>
              </w:rPr>
              <w:t>Total</w:t>
            </w:r>
          </w:p>
        </w:tc>
        <w:tc>
          <w:tcPr>
            <w:tcW w:w="2117" w:type="dxa"/>
            <w:tcBorders>
              <w:top w:val="single" w:sz="8" w:space="0" w:color="000000"/>
              <w:bottom w:val="single" w:sz="8" w:space="0" w:color="000000"/>
            </w:tcBorders>
          </w:tcPr>
          <w:p w14:paraId="0B4B1C13" w14:textId="77777777" w:rsidR="00DB2D38" w:rsidRDefault="00394B9B">
            <w:pPr>
              <w:pStyle w:val="TableParagraph"/>
              <w:spacing w:before="1"/>
              <w:ind w:right="102"/>
              <w:jc w:val="right"/>
              <w:rPr>
                <w:b/>
              </w:rPr>
            </w:pPr>
            <w:r>
              <w:rPr>
                <w:b/>
              </w:rPr>
              <w:t>0</w:t>
            </w:r>
          </w:p>
        </w:tc>
      </w:tr>
      <w:tr w:rsidR="00DB2D38" w14:paraId="0763E262" w14:textId="77777777">
        <w:trPr>
          <w:trHeight w:val="308"/>
        </w:trPr>
        <w:tc>
          <w:tcPr>
            <w:tcW w:w="6515" w:type="dxa"/>
            <w:tcBorders>
              <w:top w:val="single" w:sz="8" w:space="0" w:color="000000"/>
            </w:tcBorders>
          </w:tcPr>
          <w:p w14:paraId="75564596" w14:textId="77777777" w:rsidR="00DB2D38" w:rsidRDefault="00394B9B">
            <w:pPr>
              <w:pStyle w:val="TableParagraph"/>
              <w:spacing w:before="1"/>
              <w:ind w:left="115"/>
            </w:pPr>
            <w:r>
              <w:t>Hispanic</w:t>
            </w:r>
          </w:p>
        </w:tc>
        <w:tc>
          <w:tcPr>
            <w:tcW w:w="2117" w:type="dxa"/>
            <w:tcBorders>
              <w:top w:val="single" w:sz="8" w:space="0" w:color="000000"/>
            </w:tcBorders>
          </w:tcPr>
          <w:p w14:paraId="09B888C7" w14:textId="77777777" w:rsidR="00DB2D38" w:rsidRDefault="00394B9B">
            <w:pPr>
              <w:pStyle w:val="TableParagraph"/>
              <w:spacing w:before="1"/>
              <w:ind w:right="102"/>
              <w:jc w:val="right"/>
            </w:pPr>
            <w:r>
              <w:t>0</w:t>
            </w:r>
          </w:p>
        </w:tc>
      </w:tr>
      <w:tr w:rsidR="00DB2D38" w14:paraId="4CF229A0" w14:textId="77777777">
        <w:trPr>
          <w:trHeight w:val="309"/>
        </w:trPr>
        <w:tc>
          <w:tcPr>
            <w:tcW w:w="6515" w:type="dxa"/>
          </w:tcPr>
          <w:p w14:paraId="1DF083E6" w14:textId="77777777" w:rsidR="00DB2D38" w:rsidRDefault="00394B9B">
            <w:pPr>
              <w:pStyle w:val="TableParagraph"/>
              <w:spacing w:line="268" w:lineRule="exact"/>
              <w:ind w:left="115"/>
            </w:pPr>
            <w:r>
              <w:t>Not Hispanic</w:t>
            </w:r>
          </w:p>
        </w:tc>
        <w:tc>
          <w:tcPr>
            <w:tcW w:w="2117" w:type="dxa"/>
          </w:tcPr>
          <w:p w14:paraId="2F00CE2C" w14:textId="77777777" w:rsidR="00DB2D38" w:rsidRDefault="00394B9B">
            <w:pPr>
              <w:pStyle w:val="TableParagraph"/>
              <w:spacing w:line="268" w:lineRule="exact"/>
              <w:ind w:right="102"/>
              <w:jc w:val="right"/>
            </w:pPr>
            <w:r>
              <w:t>0</w:t>
            </w:r>
          </w:p>
        </w:tc>
      </w:tr>
    </w:tbl>
    <w:p w14:paraId="0133CF72" w14:textId="77777777" w:rsidR="00DB2D38" w:rsidRDefault="00DB2D38">
      <w:pPr>
        <w:pStyle w:val="BodyText"/>
        <w:spacing w:before="11"/>
        <w:rPr>
          <w:rFonts w:ascii="Calibri"/>
          <w:b/>
          <w:sz w:val="21"/>
        </w:rPr>
      </w:pPr>
    </w:p>
    <w:p w14:paraId="3BAA069B" w14:textId="77777777" w:rsidR="00DB2D38" w:rsidRDefault="00394B9B">
      <w:pPr>
        <w:ind w:left="2160"/>
        <w:rPr>
          <w:rFonts w:ascii="Calibri" w:hAnsi="Calibri"/>
          <w:b/>
          <w:sz w:val="20"/>
        </w:rPr>
      </w:pPr>
      <w:r>
        <w:rPr>
          <w:rFonts w:ascii="Calibri" w:hAnsi="Calibri"/>
          <w:b/>
          <w:sz w:val="20"/>
        </w:rPr>
        <w:t>Table 2 – Table of assistance to racial and ethnic populations by source of funds</w:t>
      </w:r>
    </w:p>
    <w:p w14:paraId="04CC3903" w14:textId="77777777" w:rsidR="00DB2D38" w:rsidRDefault="00DB2D38">
      <w:pPr>
        <w:pStyle w:val="BodyText"/>
        <w:rPr>
          <w:rFonts w:ascii="Calibri"/>
          <w:b/>
          <w:sz w:val="20"/>
        </w:rPr>
      </w:pPr>
    </w:p>
    <w:p w14:paraId="29B3D8B8" w14:textId="77777777" w:rsidR="00DB2D38" w:rsidRDefault="00DB2D38">
      <w:pPr>
        <w:pStyle w:val="BodyText"/>
        <w:rPr>
          <w:rFonts w:ascii="Calibri"/>
          <w:b/>
          <w:sz w:val="20"/>
        </w:rPr>
      </w:pPr>
    </w:p>
    <w:p w14:paraId="738DE042" w14:textId="77777777" w:rsidR="00DB2D38" w:rsidRDefault="00DB2D38">
      <w:pPr>
        <w:pStyle w:val="BodyText"/>
        <w:spacing w:before="5"/>
        <w:rPr>
          <w:rFonts w:ascii="Calibri"/>
          <w:b/>
          <w:sz w:val="23"/>
        </w:rPr>
      </w:pPr>
    </w:p>
    <w:p w14:paraId="24E146E1" w14:textId="77777777" w:rsidR="00DB2D38" w:rsidRDefault="00394B9B">
      <w:pPr>
        <w:pStyle w:val="Heading2"/>
        <w:jc w:val="both"/>
      </w:pPr>
      <w:r>
        <w:t>Narrative</w:t>
      </w:r>
    </w:p>
    <w:p w14:paraId="7168E5CD" w14:textId="77777777" w:rsidR="00DB2D38" w:rsidRDefault="00DB2D38">
      <w:pPr>
        <w:pStyle w:val="BodyText"/>
        <w:spacing w:before="2"/>
        <w:rPr>
          <w:rFonts w:ascii="Calibri"/>
          <w:b/>
          <w:sz w:val="20"/>
        </w:rPr>
      </w:pPr>
    </w:p>
    <w:p w14:paraId="6044CEED" w14:textId="09C425A9" w:rsidR="00DB2D38" w:rsidRDefault="00394B9B">
      <w:pPr>
        <w:pStyle w:val="BodyText"/>
        <w:ind w:left="1440" w:right="1440"/>
        <w:jc w:val="both"/>
      </w:pPr>
      <w:r>
        <w:t>The City of Twin Falls utilizes US Census Bureau information. Based on the 20</w:t>
      </w:r>
      <w:r w:rsidR="00AD5EC0">
        <w:t>22</w:t>
      </w:r>
      <w:r>
        <w:t xml:space="preserve"> estimate, Twin Falls has a population of 5</w:t>
      </w:r>
      <w:r w:rsidR="00AD5EC0">
        <w:t xml:space="preserve">4,300 </w:t>
      </w:r>
      <w:r>
        <w:t>residents living inside of the corporate boundaries of the city (18.61 square miles). The population of the City is primarily White/Not Hispanic (</w:t>
      </w:r>
      <w:r w:rsidR="00AD5EC0">
        <w:t>77.3</w:t>
      </w:r>
      <w:r>
        <w:t xml:space="preserve">%), </w:t>
      </w:r>
      <w:r w:rsidR="00AD5EC0">
        <w:t>14.3</w:t>
      </w:r>
      <w:r>
        <w:t xml:space="preserve">% Hispanic, </w:t>
      </w:r>
      <w:r w:rsidR="00AD5EC0">
        <w:t>0.5% American Indian and Alaska Native alone, 6.5</w:t>
      </w:r>
      <w:r>
        <w:t>% two or more races, 1.</w:t>
      </w:r>
      <w:r w:rsidR="00AD5EC0">
        <w:t>1</w:t>
      </w:r>
      <w:r>
        <w:t>% Black or African American, and 2.</w:t>
      </w:r>
      <w:r w:rsidR="00AD5EC0">
        <w:t>5</w:t>
      </w:r>
      <w:r>
        <w:t>% Asian.</w:t>
      </w:r>
      <w:r w:rsidR="00AD5EC0">
        <w:t xml:space="preserve"> </w:t>
      </w:r>
    </w:p>
    <w:p w14:paraId="4AC331D7" w14:textId="77777777" w:rsidR="00DB2D38" w:rsidRDefault="00DB2D38">
      <w:pPr>
        <w:pStyle w:val="BodyText"/>
      </w:pPr>
    </w:p>
    <w:p w14:paraId="06CCEF60" w14:textId="03F425AB" w:rsidR="00DB2D38" w:rsidRDefault="00394B9B" w:rsidP="00987A4D">
      <w:pPr>
        <w:pStyle w:val="BodyText"/>
        <w:spacing w:before="1"/>
        <w:ind w:left="1440" w:right="1435"/>
        <w:jc w:val="both"/>
        <w:sectPr w:rsidR="00DB2D38">
          <w:pgSz w:w="15840" w:h="12240" w:orient="landscape"/>
          <w:pgMar w:top="1140" w:right="0" w:bottom="1280" w:left="0" w:header="0" w:footer="1009" w:gutter="0"/>
          <w:cols w:space="720"/>
        </w:sectPr>
      </w:pPr>
      <w:r>
        <w:t>The City of Twin Falls has a policy that does not allow for any form of discrimination in the provision of its services, hiring practices, or procurement on the basis of actual or perceived race, creed, color, religion, alienage or national origin, ancestry, citizenship status, age, disability or handicap, sex, marital status, veteran status, sexual orientation, genetic information, arrest record, or any other characteristic protected by applicable federal, state or local laws.</w:t>
      </w:r>
    </w:p>
    <w:p w14:paraId="7F07F99B" w14:textId="77777777" w:rsidR="00DB2D38" w:rsidRDefault="00DB2D38">
      <w:pPr>
        <w:pStyle w:val="BodyText"/>
        <w:spacing w:before="5"/>
        <w:rPr>
          <w:sz w:val="22"/>
        </w:rPr>
      </w:pPr>
    </w:p>
    <w:p w14:paraId="6FFFB74D" w14:textId="77777777" w:rsidR="00DB2D38" w:rsidRDefault="00394B9B">
      <w:pPr>
        <w:pStyle w:val="Heading1"/>
        <w:jc w:val="both"/>
      </w:pPr>
      <w:r>
        <w:t>CR-15 - Resources and Investments 91.520(a)</w:t>
      </w:r>
    </w:p>
    <w:p w14:paraId="4027F8E3" w14:textId="77777777" w:rsidR="00DB2D38" w:rsidRDefault="00394B9B">
      <w:pPr>
        <w:pStyle w:val="Heading2"/>
        <w:spacing w:before="109"/>
        <w:jc w:val="both"/>
      </w:pPr>
      <w:r>
        <w:t xml:space="preserve">Identify the resources made </w:t>
      </w:r>
      <w:proofErr w:type="gramStart"/>
      <w:r>
        <w:t>available</w:t>
      </w:r>
      <w:proofErr w:type="gramEnd"/>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8"/>
        <w:gridCol w:w="3238"/>
        <w:gridCol w:w="3238"/>
        <w:gridCol w:w="3238"/>
      </w:tblGrid>
      <w:tr w:rsidR="00DB2D38" w14:paraId="6F6C4337" w14:textId="77777777">
        <w:trPr>
          <w:trHeight w:val="537"/>
        </w:trPr>
        <w:tc>
          <w:tcPr>
            <w:tcW w:w="3238" w:type="dxa"/>
          </w:tcPr>
          <w:p w14:paraId="5883F64D" w14:textId="77777777" w:rsidR="00DB2D38" w:rsidRDefault="00394B9B">
            <w:pPr>
              <w:pStyle w:val="TableParagraph"/>
              <w:spacing w:line="268" w:lineRule="exact"/>
              <w:ind w:left="892"/>
              <w:rPr>
                <w:b/>
              </w:rPr>
            </w:pPr>
            <w:r>
              <w:rPr>
                <w:b/>
              </w:rPr>
              <w:t>Source of Funds</w:t>
            </w:r>
          </w:p>
        </w:tc>
        <w:tc>
          <w:tcPr>
            <w:tcW w:w="3238" w:type="dxa"/>
          </w:tcPr>
          <w:p w14:paraId="598CE002" w14:textId="77777777" w:rsidR="00DB2D38" w:rsidRDefault="00394B9B">
            <w:pPr>
              <w:pStyle w:val="TableParagraph"/>
              <w:spacing w:line="268" w:lineRule="exact"/>
              <w:ind w:left="420" w:right="408"/>
              <w:jc w:val="center"/>
              <w:rPr>
                <w:b/>
              </w:rPr>
            </w:pPr>
            <w:r>
              <w:rPr>
                <w:b/>
              </w:rPr>
              <w:t>Source</w:t>
            </w:r>
          </w:p>
        </w:tc>
        <w:tc>
          <w:tcPr>
            <w:tcW w:w="3238" w:type="dxa"/>
          </w:tcPr>
          <w:p w14:paraId="0C7A861F" w14:textId="77777777" w:rsidR="00DB2D38" w:rsidRDefault="00394B9B">
            <w:pPr>
              <w:pStyle w:val="TableParagraph"/>
              <w:spacing w:line="268" w:lineRule="exact"/>
              <w:ind w:left="415"/>
              <w:rPr>
                <w:b/>
              </w:rPr>
            </w:pPr>
            <w:r>
              <w:rPr>
                <w:b/>
              </w:rPr>
              <w:t>Resources Made Available</w:t>
            </w:r>
          </w:p>
        </w:tc>
        <w:tc>
          <w:tcPr>
            <w:tcW w:w="3238" w:type="dxa"/>
          </w:tcPr>
          <w:p w14:paraId="5377FB1F" w14:textId="77777777" w:rsidR="00DB2D38" w:rsidRDefault="00394B9B">
            <w:pPr>
              <w:pStyle w:val="TableParagraph"/>
              <w:spacing w:line="268" w:lineRule="exact"/>
              <w:ind w:left="420" w:right="412"/>
              <w:jc w:val="center"/>
              <w:rPr>
                <w:b/>
              </w:rPr>
            </w:pPr>
            <w:r>
              <w:rPr>
                <w:b/>
              </w:rPr>
              <w:t>Amount Expended During</w:t>
            </w:r>
          </w:p>
          <w:p w14:paraId="3CE9C661" w14:textId="77777777" w:rsidR="00DB2D38" w:rsidRDefault="00394B9B">
            <w:pPr>
              <w:pStyle w:val="TableParagraph"/>
              <w:spacing w:line="249" w:lineRule="exact"/>
              <w:ind w:left="420" w:right="410"/>
              <w:jc w:val="center"/>
              <w:rPr>
                <w:b/>
              </w:rPr>
            </w:pPr>
            <w:r>
              <w:rPr>
                <w:b/>
              </w:rPr>
              <w:t>Program Year</w:t>
            </w:r>
          </w:p>
        </w:tc>
      </w:tr>
      <w:tr w:rsidR="00DB2D38" w:rsidRPr="00227D14" w14:paraId="712BAB07" w14:textId="77777777">
        <w:trPr>
          <w:trHeight w:val="309"/>
        </w:trPr>
        <w:tc>
          <w:tcPr>
            <w:tcW w:w="3238" w:type="dxa"/>
          </w:tcPr>
          <w:p w14:paraId="275B75DD" w14:textId="77777777" w:rsidR="00DB2D38" w:rsidRDefault="00394B9B">
            <w:pPr>
              <w:pStyle w:val="TableParagraph"/>
              <w:spacing w:line="268" w:lineRule="exact"/>
              <w:ind w:left="107"/>
            </w:pPr>
            <w:r>
              <w:t>CDBG</w:t>
            </w:r>
          </w:p>
        </w:tc>
        <w:tc>
          <w:tcPr>
            <w:tcW w:w="3238" w:type="dxa"/>
          </w:tcPr>
          <w:p w14:paraId="7AC573E0" w14:textId="77777777" w:rsidR="00DB2D38" w:rsidRDefault="00394B9B">
            <w:pPr>
              <w:pStyle w:val="TableParagraph"/>
              <w:spacing w:line="268" w:lineRule="exact"/>
              <w:ind w:left="107"/>
            </w:pPr>
            <w:r>
              <w:t>public - federal</w:t>
            </w:r>
          </w:p>
        </w:tc>
        <w:tc>
          <w:tcPr>
            <w:tcW w:w="3238" w:type="dxa"/>
          </w:tcPr>
          <w:p w14:paraId="03FB5B5B" w14:textId="482DDEDC" w:rsidR="00DB2D38" w:rsidRPr="00227D14" w:rsidRDefault="00394B9B">
            <w:pPr>
              <w:pStyle w:val="TableParagraph"/>
              <w:spacing w:line="268" w:lineRule="exact"/>
              <w:ind w:right="97"/>
              <w:jc w:val="right"/>
            </w:pPr>
            <w:r w:rsidRPr="00227D14">
              <w:t>340,</w:t>
            </w:r>
            <w:r w:rsidR="00227D14" w:rsidRPr="00227D14">
              <w:t>340</w:t>
            </w:r>
          </w:p>
        </w:tc>
        <w:tc>
          <w:tcPr>
            <w:tcW w:w="3238" w:type="dxa"/>
          </w:tcPr>
          <w:p w14:paraId="5CEC52A7" w14:textId="2C5E2CA4" w:rsidR="00DB2D38" w:rsidRPr="00227D14" w:rsidRDefault="00227D14">
            <w:pPr>
              <w:pStyle w:val="TableParagraph"/>
              <w:spacing w:line="268" w:lineRule="exact"/>
              <w:ind w:right="97"/>
              <w:jc w:val="right"/>
            </w:pPr>
            <w:r w:rsidRPr="00227D14">
              <w:t>75,454.00</w:t>
            </w:r>
          </w:p>
        </w:tc>
      </w:tr>
      <w:tr w:rsidR="00DB2D38" w:rsidRPr="00093921" w14:paraId="18746BE8" w14:textId="77777777">
        <w:trPr>
          <w:trHeight w:val="309"/>
        </w:trPr>
        <w:tc>
          <w:tcPr>
            <w:tcW w:w="3238" w:type="dxa"/>
          </w:tcPr>
          <w:p w14:paraId="334D2DFF" w14:textId="77777777" w:rsidR="00DB2D38" w:rsidRDefault="00394B9B">
            <w:pPr>
              <w:pStyle w:val="TableParagraph"/>
              <w:spacing w:line="268" w:lineRule="exact"/>
              <w:ind w:left="107"/>
            </w:pPr>
            <w:r>
              <w:t>Other</w:t>
            </w:r>
          </w:p>
        </w:tc>
        <w:tc>
          <w:tcPr>
            <w:tcW w:w="3238" w:type="dxa"/>
          </w:tcPr>
          <w:p w14:paraId="32EA4C41" w14:textId="77777777" w:rsidR="00DB2D38" w:rsidRDefault="00394B9B">
            <w:pPr>
              <w:pStyle w:val="TableParagraph"/>
              <w:spacing w:line="268" w:lineRule="exact"/>
              <w:ind w:left="107"/>
            </w:pPr>
            <w:r>
              <w:t>public - federal</w:t>
            </w:r>
          </w:p>
        </w:tc>
        <w:tc>
          <w:tcPr>
            <w:tcW w:w="3238" w:type="dxa"/>
          </w:tcPr>
          <w:p w14:paraId="617C316D" w14:textId="1A1F5F85" w:rsidR="00DB2D38" w:rsidRPr="00227D14" w:rsidRDefault="00227D14">
            <w:pPr>
              <w:pStyle w:val="TableParagraph"/>
              <w:spacing w:line="268" w:lineRule="exact"/>
              <w:ind w:right="97"/>
              <w:jc w:val="right"/>
            </w:pPr>
            <w:r w:rsidRPr="00227D14">
              <w:t>399,137</w:t>
            </w:r>
          </w:p>
        </w:tc>
        <w:tc>
          <w:tcPr>
            <w:tcW w:w="3238" w:type="dxa"/>
          </w:tcPr>
          <w:p w14:paraId="74811E4D" w14:textId="55EEF036" w:rsidR="00DB2D38" w:rsidRPr="00093921" w:rsidRDefault="00675659" w:rsidP="00675659">
            <w:pPr>
              <w:pStyle w:val="TableParagraph"/>
              <w:jc w:val="right"/>
              <w:rPr>
                <w:rFonts w:ascii="Times New Roman"/>
              </w:rPr>
            </w:pPr>
            <w:r w:rsidRPr="00093921">
              <w:rPr>
                <w:rFonts w:ascii="Times New Roman"/>
              </w:rPr>
              <w:t xml:space="preserve">0   </w:t>
            </w:r>
          </w:p>
        </w:tc>
      </w:tr>
    </w:tbl>
    <w:p w14:paraId="455C678A" w14:textId="77777777" w:rsidR="00DB2D38" w:rsidRDefault="00394B9B">
      <w:pPr>
        <w:ind w:left="748" w:right="751"/>
        <w:jc w:val="center"/>
        <w:rPr>
          <w:rFonts w:ascii="Calibri"/>
          <w:b/>
          <w:sz w:val="20"/>
        </w:rPr>
      </w:pPr>
      <w:r>
        <w:rPr>
          <w:rFonts w:ascii="Calibri"/>
          <w:b/>
          <w:sz w:val="20"/>
        </w:rPr>
        <w:t>Table 3 - Resources Made Available</w:t>
      </w:r>
    </w:p>
    <w:p w14:paraId="04FD052F" w14:textId="77777777" w:rsidR="00DB2D38" w:rsidRDefault="00DB2D38">
      <w:pPr>
        <w:pStyle w:val="BodyText"/>
        <w:spacing w:before="10"/>
        <w:rPr>
          <w:rFonts w:ascii="Calibri"/>
          <w:b/>
          <w:sz w:val="23"/>
        </w:rPr>
      </w:pPr>
    </w:p>
    <w:p w14:paraId="79BC8CB3" w14:textId="77777777" w:rsidR="00DB2D38" w:rsidRDefault="00394B9B">
      <w:pPr>
        <w:pStyle w:val="Heading2"/>
        <w:jc w:val="both"/>
      </w:pPr>
      <w:r>
        <w:t>Narrative</w:t>
      </w:r>
    </w:p>
    <w:p w14:paraId="516EAACF" w14:textId="0E2A7ACA" w:rsidR="00DB2D38" w:rsidRPr="00675659" w:rsidRDefault="00675659">
      <w:pPr>
        <w:pStyle w:val="BodyText"/>
        <w:spacing w:before="3"/>
        <w:rPr>
          <w:bCs/>
        </w:rPr>
      </w:pPr>
      <w:r>
        <w:rPr>
          <w:rFonts w:ascii="Calibri"/>
          <w:b/>
        </w:rPr>
        <w:tab/>
      </w:r>
      <w:r>
        <w:rPr>
          <w:rFonts w:ascii="Calibri"/>
          <w:b/>
        </w:rPr>
        <w:tab/>
      </w:r>
      <w:r w:rsidRPr="00675659">
        <w:rPr>
          <w:bCs/>
        </w:rPr>
        <w:t xml:space="preserve">CDBG Funds were expended to </w:t>
      </w:r>
      <w:r>
        <w:rPr>
          <w:bCs/>
        </w:rPr>
        <w:t>address the administrative burden of the program</w:t>
      </w:r>
      <w:r w:rsidR="00093921">
        <w:rPr>
          <w:bCs/>
        </w:rPr>
        <w:t xml:space="preserve"> and personnel training</w:t>
      </w:r>
      <w:r>
        <w:rPr>
          <w:bCs/>
        </w:rPr>
        <w:t xml:space="preserve">. </w:t>
      </w:r>
    </w:p>
    <w:p w14:paraId="76E549A5" w14:textId="77777777" w:rsidR="00DB2D38" w:rsidRDefault="00DB2D38">
      <w:pPr>
        <w:pStyle w:val="BodyText"/>
        <w:spacing w:before="5"/>
        <w:rPr>
          <w:sz w:val="25"/>
        </w:rPr>
      </w:pPr>
    </w:p>
    <w:p w14:paraId="554743CA" w14:textId="77777777" w:rsidR="00DB2D38" w:rsidRDefault="00394B9B">
      <w:pPr>
        <w:pStyle w:val="Heading2"/>
        <w:jc w:val="both"/>
      </w:pPr>
      <w:r>
        <w:t xml:space="preserve">Identify the geographic distribution and location of </w:t>
      </w:r>
      <w:proofErr w:type="gramStart"/>
      <w:r>
        <w:t>investments</w:t>
      </w:r>
      <w:proofErr w:type="gramEnd"/>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8"/>
        <w:gridCol w:w="3238"/>
        <w:gridCol w:w="3238"/>
        <w:gridCol w:w="3238"/>
      </w:tblGrid>
      <w:tr w:rsidR="00DB2D38" w14:paraId="33027962" w14:textId="77777777">
        <w:trPr>
          <w:trHeight w:val="537"/>
        </w:trPr>
        <w:tc>
          <w:tcPr>
            <w:tcW w:w="3238" w:type="dxa"/>
          </w:tcPr>
          <w:p w14:paraId="2A00782C" w14:textId="77777777" w:rsidR="00DB2D38" w:rsidRDefault="00394B9B">
            <w:pPr>
              <w:pStyle w:val="TableParagraph"/>
              <w:spacing w:line="268" w:lineRule="exact"/>
              <w:ind w:left="1084"/>
              <w:rPr>
                <w:b/>
              </w:rPr>
            </w:pPr>
            <w:r>
              <w:rPr>
                <w:b/>
              </w:rPr>
              <w:t>Target Area</w:t>
            </w:r>
          </w:p>
        </w:tc>
        <w:tc>
          <w:tcPr>
            <w:tcW w:w="3238" w:type="dxa"/>
          </w:tcPr>
          <w:p w14:paraId="6F0EF704" w14:textId="77777777" w:rsidR="00DB2D38" w:rsidRDefault="00394B9B">
            <w:pPr>
              <w:pStyle w:val="TableParagraph"/>
              <w:spacing w:line="268" w:lineRule="exact"/>
              <w:ind w:left="420" w:right="411"/>
              <w:jc w:val="center"/>
              <w:rPr>
                <w:b/>
              </w:rPr>
            </w:pPr>
            <w:r>
              <w:rPr>
                <w:b/>
              </w:rPr>
              <w:t>Planned Percentage of</w:t>
            </w:r>
          </w:p>
          <w:p w14:paraId="2C2735C9" w14:textId="77777777" w:rsidR="00DB2D38" w:rsidRDefault="00394B9B">
            <w:pPr>
              <w:pStyle w:val="TableParagraph"/>
              <w:spacing w:line="249" w:lineRule="exact"/>
              <w:ind w:left="420" w:right="411"/>
              <w:jc w:val="center"/>
              <w:rPr>
                <w:b/>
              </w:rPr>
            </w:pPr>
            <w:r>
              <w:rPr>
                <w:b/>
              </w:rPr>
              <w:t>Allocation</w:t>
            </w:r>
          </w:p>
        </w:tc>
        <w:tc>
          <w:tcPr>
            <w:tcW w:w="3238" w:type="dxa"/>
          </w:tcPr>
          <w:p w14:paraId="7747380F" w14:textId="77777777" w:rsidR="00DB2D38" w:rsidRDefault="00394B9B">
            <w:pPr>
              <w:pStyle w:val="TableParagraph"/>
              <w:spacing w:line="268" w:lineRule="exact"/>
              <w:ind w:left="179"/>
              <w:rPr>
                <w:b/>
              </w:rPr>
            </w:pPr>
            <w:r>
              <w:rPr>
                <w:b/>
              </w:rPr>
              <w:t>Actual Percentage of Allocation</w:t>
            </w:r>
          </w:p>
        </w:tc>
        <w:tc>
          <w:tcPr>
            <w:tcW w:w="3238" w:type="dxa"/>
          </w:tcPr>
          <w:p w14:paraId="023E81B4" w14:textId="77777777" w:rsidR="00DB2D38" w:rsidRDefault="00394B9B">
            <w:pPr>
              <w:pStyle w:val="TableParagraph"/>
              <w:spacing w:line="268" w:lineRule="exact"/>
              <w:ind w:left="638"/>
              <w:rPr>
                <w:b/>
              </w:rPr>
            </w:pPr>
            <w:r>
              <w:rPr>
                <w:b/>
              </w:rPr>
              <w:t>Narrative Description</w:t>
            </w:r>
          </w:p>
        </w:tc>
      </w:tr>
      <w:tr w:rsidR="00DB2D38" w14:paraId="45348A82" w14:textId="77777777">
        <w:trPr>
          <w:trHeight w:val="309"/>
        </w:trPr>
        <w:tc>
          <w:tcPr>
            <w:tcW w:w="3238" w:type="dxa"/>
          </w:tcPr>
          <w:p w14:paraId="00F777C7" w14:textId="77777777" w:rsidR="00DB2D38" w:rsidRDefault="00394B9B">
            <w:pPr>
              <w:pStyle w:val="TableParagraph"/>
              <w:spacing w:line="268" w:lineRule="exact"/>
              <w:ind w:left="107"/>
            </w:pPr>
            <w:r>
              <w:t>CDBG Area Benefit</w:t>
            </w:r>
          </w:p>
        </w:tc>
        <w:tc>
          <w:tcPr>
            <w:tcW w:w="3238" w:type="dxa"/>
          </w:tcPr>
          <w:p w14:paraId="30BAC93D" w14:textId="77777777" w:rsidR="00DB2D38" w:rsidRDefault="00394B9B">
            <w:pPr>
              <w:pStyle w:val="TableParagraph"/>
              <w:spacing w:line="268" w:lineRule="exact"/>
              <w:ind w:left="107"/>
            </w:pPr>
            <w:r>
              <w:t>65</w:t>
            </w:r>
          </w:p>
        </w:tc>
        <w:tc>
          <w:tcPr>
            <w:tcW w:w="3238" w:type="dxa"/>
          </w:tcPr>
          <w:p w14:paraId="08C6E8A1" w14:textId="77777777" w:rsidR="00DB2D38" w:rsidRDefault="00DB2D38">
            <w:pPr>
              <w:pStyle w:val="TableParagraph"/>
              <w:rPr>
                <w:rFonts w:ascii="Times New Roman"/>
              </w:rPr>
            </w:pPr>
          </w:p>
        </w:tc>
        <w:tc>
          <w:tcPr>
            <w:tcW w:w="3238" w:type="dxa"/>
          </w:tcPr>
          <w:p w14:paraId="51D721B2" w14:textId="77777777" w:rsidR="00DB2D38" w:rsidRDefault="00DB2D38">
            <w:pPr>
              <w:pStyle w:val="TableParagraph"/>
              <w:rPr>
                <w:rFonts w:ascii="Times New Roman"/>
              </w:rPr>
            </w:pPr>
          </w:p>
        </w:tc>
      </w:tr>
      <w:tr w:rsidR="00DB2D38" w14:paraId="16E44ADF" w14:textId="77777777">
        <w:trPr>
          <w:trHeight w:val="309"/>
        </w:trPr>
        <w:tc>
          <w:tcPr>
            <w:tcW w:w="3238" w:type="dxa"/>
          </w:tcPr>
          <w:p w14:paraId="0BB2817C" w14:textId="77777777" w:rsidR="00DB2D38" w:rsidRDefault="00394B9B">
            <w:pPr>
              <w:pStyle w:val="TableParagraph"/>
              <w:spacing w:line="268" w:lineRule="exact"/>
              <w:ind w:left="107"/>
            </w:pPr>
            <w:r>
              <w:t>Citywide</w:t>
            </w:r>
          </w:p>
        </w:tc>
        <w:tc>
          <w:tcPr>
            <w:tcW w:w="3238" w:type="dxa"/>
          </w:tcPr>
          <w:p w14:paraId="5A1E26DF" w14:textId="77777777" w:rsidR="00DB2D38" w:rsidRDefault="00394B9B">
            <w:pPr>
              <w:pStyle w:val="TableParagraph"/>
              <w:spacing w:line="268" w:lineRule="exact"/>
              <w:ind w:left="107"/>
            </w:pPr>
            <w:r>
              <w:t>35</w:t>
            </w:r>
          </w:p>
        </w:tc>
        <w:tc>
          <w:tcPr>
            <w:tcW w:w="3238" w:type="dxa"/>
          </w:tcPr>
          <w:p w14:paraId="51C61506" w14:textId="77777777" w:rsidR="00DB2D38" w:rsidRDefault="00DB2D38">
            <w:pPr>
              <w:pStyle w:val="TableParagraph"/>
              <w:rPr>
                <w:rFonts w:ascii="Times New Roman"/>
              </w:rPr>
            </w:pPr>
          </w:p>
        </w:tc>
        <w:tc>
          <w:tcPr>
            <w:tcW w:w="3238" w:type="dxa"/>
          </w:tcPr>
          <w:p w14:paraId="3721631E" w14:textId="77777777" w:rsidR="00DB2D38" w:rsidRDefault="00DB2D38">
            <w:pPr>
              <w:pStyle w:val="TableParagraph"/>
              <w:rPr>
                <w:rFonts w:ascii="Times New Roman"/>
              </w:rPr>
            </w:pPr>
          </w:p>
        </w:tc>
      </w:tr>
    </w:tbl>
    <w:p w14:paraId="4F18FFBD" w14:textId="77777777" w:rsidR="00DB2D38" w:rsidRDefault="00394B9B">
      <w:pPr>
        <w:ind w:left="750" w:right="751"/>
        <w:jc w:val="center"/>
        <w:rPr>
          <w:rFonts w:ascii="Calibri" w:hAnsi="Calibri"/>
          <w:b/>
          <w:sz w:val="20"/>
        </w:rPr>
      </w:pPr>
      <w:r>
        <w:rPr>
          <w:rFonts w:ascii="Calibri" w:hAnsi="Calibri"/>
          <w:b/>
          <w:sz w:val="20"/>
        </w:rPr>
        <w:t xml:space="preserve">Table 4 – Identify the geographic distribution and location of </w:t>
      </w:r>
      <w:proofErr w:type="gramStart"/>
      <w:r>
        <w:rPr>
          <w:rFonts w:ascii="Calibri" w:hAnsi="Calibri"/>
          <w:b/>
          <w:sz w:val="20"/>
        </w:rPr>
        <w:t>investments</w:t>
      </w:r>
      <w:proofErr w:type="gramEnd"/>
    </w:p>
    <w:p w14:paraId="0D17CE61" w14:textId="77777777" w:rsidR="00DB2D38" w:rsidRDefault="00DB2D38">
      <w:pPr>
        <w:pStyle w:val="BodyText"/>
        <w:rPr>
          <w:rFonts w:ascii="Calibri"/>
          <w:b/>
          <w:sz w:val="20"/>
        </w:rPr>
      </w:pPr>
    </w:p>
    <w:p w14:paraId="6555151C" w14:textId="77777777" w:rsidR="00DB2D38" w:rsidRDefault="00394B9B">
      <w:pPr>
        <w:pStyle w:val="Heading2"/>
        <w:spacing w:before="170"/>
        <w:jc w:val="both"/>
        <w:rPr>
          <w:rFonts w:ascii="Arial"/>
        </w:rPr>
      </w:pPr>
      <w:r>
        <w:rPr>
          <w:rFonts w:ascii="Arial"/>
        </w:rPr>
        <w:t>Narrative</w:t>
      </w:r>
    </w:p>
    <w:p w14:paraId="1B359022" w14:textId="5A69CD68" w:rsidR="000F48BA" w:rsidRDefault="00394B9B" w:rsidP="002D4BB9">
      <w:pPr>
        <w:pStyle w:val="BodyText"/>
        <w:spacing w:before="201" w:line="204" w:lineRule="auto"/>
        <w:ind w:left="1440" w:right="1599"/>
        <w:jc w:val="both"/>
        <w:rPr>
          <w:sz w:val="25"/>
        </w:rPr>
      </w:pPr>
      <w:r>
        <w:t>At</w:t>
      </w:r>
      <w:r>
        <w:rPr>
          <w:spacing w:val="-5"/>
        </w:rPr>
        <w:t xml:space="preserve"> </w:t>
      </w:r>
      <w:r>
        <w:t>the</w:t>
      </w:r>
      <w:r>
        <w:rPr>
          <w:spacing w:val="-7"/>
        </w:rPr>
        <w:t xml:space="preserve"> </w:t>
      </w:r>
      <w:r>
        <w:t>end</w:t>
      </w:r>
      <w:r>
        <w:rPr>
          <w:spacing w:val="-7"/>
        </w:rPr>
        <w:t xml:space="preserve"> </w:t>
      </w:r>
      <w:r>
        <w:t>of</w:t>
      </w:r>
      <w:r>
        <w:rPr>
          <w:spacing w:val="-5"/>
        </w:rPr>
        <w:t xml:space="preserve"> </w:t>
      </w:r>
      <w:r>
        <w:t>PY</w:t>
      </w:r>
      <w:r w:rsidR="002157A9">
        <w:t>202</w:t>
      </w:r>
      <w:r w:rsidR="00AD5EC0">
        <w:t>2</w:t>
      </w:r>
      <w:r>
        <w:t>,</w:t>
      </w:r>
      <w:r>
        <w:rPr>
          <w:spacing w:val="-8"/>
        </w:rPr>
        <w:t xml:space="preserve"> </w:t>
      </w:r>
      <w:r w:rsidR="00670DFF">
        <w:t>the total funds drawn were $</w:t>
      </w:r>
      <w:r w:rsidR="00227D14" w:rsidRPr="00227D14">
        <w:t>75,454</w:t>
      </w:r>
      <w:r w:rsidR="008C70A1" w:rsidRPr="00227D14">
        <w:t>.00</w:t>
      </w:r>
      <w:r>
        <w:t>.</w:t>
      </w:r>
      <w:r>
        <w:rPr>
          <w:spacing w:val="-5"/>
        </w:rPr>
        <w:t xml:space="preserve"> </w:t>
      </w:r>
      <w:r>
        <w:t>The</w:t>
      </w:r>
      <w:r>
        <w:rPr>
          <w:spacing w:val="-7"/>
        </w:rPr>
        <w:t xml:space="preserve"> </w:t>
      </w:r>
      <w:r>
        <w:t>City</w:t>
      </w:r>
      <w:r>
        <w:rPr>
          <w:spacing w:val="-5"/>
        </w:rPr>
        <w:t xml:space="preserve"> </w:t>
      </w:r>
      <w:r>
        <w:t>of</w:t>
      </w:r>
      <w:r>
        <w:rPr>
          <w:spacing w:val="-5"/>
        </w:rPr>
        <w:t xml:space="preserve"> </w:t>
      </w:r>
      <w:r>
        <w:t>Twin</w:t>
      </w:r>
      <w:r>
        <w:rPr>
          <w:spacing w:val="-5"/>
        </w:rPr>
        <w:t xml:space="preserve"> </w:t>
      </w:r>
      <w:r>
        <w:t>Falls</w:t>
      </w:r>
      <w:r>
        <w:rPr>
          <w:spacing w:val="-6"/>
        </w:rPr>
        <w:t xml:space="preserve"> </w:t>
      </w:r>
      <w:r>
        <w:t>accepted</w:t>
      </w:r>
      <w:r>
        <w:rPr>
          <w:spacing w:val="-5"/>
        </w:rPr>
        <w:t xml:space="preserve"> </w:t>
      </w:r>
      <w:r>
        <w:t>CDBG</w:t>
      </w:r>
      <w:r>
        <w:rPr>
          <w:spacing w:val="-7"/>
        </w:rPr>
        <w:t xml:space="preserve"> </w:t>
      </w:r>
      <w:r>
        <w:t>entitlement</w:t>
      </w:r>
      <w:r>
        <w:rPr>
          <w:spacing w:val="-5"/>
        </w:rPr>
        <w:t xml:space="preserve"> </w:t>
      </w:r>
      <w:r>
        <w:t>status</w:t>
      </w:r>
      <w:r>
        <w:rPr>
          <w:spacing w:val="-6"/>
        </w:rPr>
        <w:t xml:space="preserve"> </w:t>
      </w:r>
      <w:r>
        <w:t>in late 2019 and immediately contracted with a consulting firm to create all the necessary planning documents in January 2020.</w:t>
      </w:r>
      <w:r>
        <w:rPr>
          <w:spacing w:val="-6"/>
        </w:rPr>
        <w:t xml:space="preserve"> </w:t>
      </w:r>
      <w:r>
        <w:t>The</w:t>
      </w:r>
      <w:r>
        <w:rPr>
          <w:spacing w:val="-6"/>
        </w:rPr>
        <w:t xml:space="preserve"> </w:t>
      </w:r>
      <w:r>
        <w:t>timeline</w:t>
      </w:r>
      <w:r>
        <w:rPr>
          <w:spacing w:val="-7"/>
        </w:rPr>
        <w:t xml:space="preserve"> </w:t>
      </w:r>
      <w:r>
        <w:t>for</w:t>
      </w:r>
      <w:r>
        <w:rPr>
          <w:spacing w:val="-7"/>
        </w:rPr>
        <w:t xml:space="preserve"> </w:t>
      </w:r>
      <w:r>
        <w:t>this</w:t>
      </w:r>
      <w:r>
        <w:rPr>
          <w:spacing w:val="-6"/>
        </w:rPr>
        <w:t xml:space="preserve"> </w:t>
      </w:r>
      <w:r>
        <w:t>work,</w:t>
      </w:r>
      <w:r>
        <w:rPr>
          <w:spacing w:val="-7"/>
        </w:rPr>
        <w:t xml:space="preserve"> </w:t>
      </w:r>
      <w:r>
        <w:t>especially</w:t>
      </w:r>
      <w:r>
        <w:rPr>
          <w:spacing w:val="-6"/>
        </w:rPr>
        <w:t xml:space="preserve"> </w:t>
      </w:r>
      <w:r>
        <w:t>citizen</w:t>
      </w:r>
      <w:r>
        <w:rPr>
          <w:spacing w:val="-6"/>
        </w:rPr>
        <w:t xml:space="preserve"> </w:t>
      </w:r>
      <w:r>
        <w:t>participation,</w:t>
      </w:r>
      <w:r>
        <w:rPr>
          <w:spacing w:val="-5"/>
        </w:rPr>
        <w:t xml:space="preserve"> </w:t>
      </w:r>
      <w:r>
        <w:t>was</w:t>
      </w:r>
      <w:r>
        <w:rPr>
          <w:spacing w:val="-11"/>
        </w:rPr>
        <w:t xml:space="preserve"> </w:t>
      </w:r>
      <w:r>
        <w:t>severely</w:t>
      </w:r>
      <w:r>
        <w:rPr>
          <w:spacing w:val="-6"/>
        </w:rPr>
        <w:t xml:space="preserve"> </w:t>
      </w:r>
      <w:r>
        <w:t>impacted</w:t>
      </w:r>
      <w:r>
        <w:rPr>
          <w:spacing w:val="-8"/>
        </w:rPr>
        <w:t xml:space="preserve"> </w:t>
      </w:r>
      <w:r>
        <w:t>by</w:t>
      </w:r>
      <w:r>
        <w:rPr>
          <w:spacing w:val="-8"/>
        </w:rPr>
        <w:t xml:space="preserve"> </w:t>
      </w:r>
      <w:r>
        <w:t>COVID-19,</w:t>
      </w:r>
      <w:r>
        <w:rPr>
          <w:spacing w:val="-6"/>
        </w:rPr>
        <w:t xml:space="preserve"> </w:t>
      </w:r>
      <w:r>
        <w:t>stay-at-home</w:t>
      </w:r>
      <w:r>
        <w:rPr>
          <w:spacing w:val="-7"/>
        </w:rPr>
        <w:t xml:space="preserve"> </w:t>
      </w:r>
      <w:r>
        <w:t xml:space="preserve">orders, travel restrictions, and restrictions gathering in public spaces. As a result, the planning documents were not complete and approved until July 2020, delaying the implementation of </w:t>
      </w:r>
      <w:r w:rsidR="00C13927">
        <w:t xml:space="preserve">PY2020 and </w:t>
      </w:r>
      <w:r>
        <w:t>PY202</w:t>
      </w:r>
      <w:r w:rsidR="00AD5EC0">
        <w:t>1</w:t>
      </w:r>
      <w:r>
        <w:t xml:space="preserve"> activities. </w:t>
      </w:r>
      <w:r w:rsidR="00CD3ECC">
        <w:t>Since the beginning of PY 202</w:t>
      </w:r>
      <w:r w:rsidR="00AD5EC0">
        <w:t>2</w:t>
      </w:r>
      <w:r w:rsidR="00CD3ECC">
        <w:t xml:space="preserve"> the City of Twin Falls </w:t>
      </w:r>
      <w:proofErr w:type="gramStart"/>
      <w:r w:rsidR="00CD3ECC">
        <w:t>as</w:t>
      </w:r>
      <w:proofErr w:type="gramEnd"/>
      <w:r w:rsidR="00CD3ECC">
        <w:t xml:space="preserve"> begun to be create a program that is workable with the amount of funding and staff support that has been assigned. </w:t>
      </w:r>
      <w:r w:rsidR="008C70A1">
        <w:t xml:space="preserve">In PY2022 the City has </w:t>
      </w:r>
      <w:proofErr w:type="gramStart"/>
      <w:r w:rsidR="008C70A1">
        <w:t>taken a look</w:t>
      </w:r>
      <w:proofErr w:type="gramEnd"/>
      <w:r w:rsidR="008C70A1">
        <w:t xml:space="preserve"> at what would be the best way to implement the activities found in the </w:t>
      </w:r>
      <w:r w:rsidR="00987A4D">
        <w:t>Consolidated</w:t>
      </w:r>
      <w:r w:rsidR="008C70A1">
        <w:t xml:space="preserve"> Plan. This resulted in the proposal </w:t>
      </w:r>
      <w:r w:rsidR="00987A4D">
        <w:t>amendments to the Consolidated Plan and the amendment of previous yearly action plans including PY202</w:t>
      </w:r>
      <w:r w:rsidR="00307404">
        <w:t>2</w:t>
      </w:r>
      <w:r w:rsidR="00987A4D">
        <w:t xml:space="preserve">. </w:t>
      </w:r>
      <w:r w:rsidR="000F48BA">
        <w:t xml:space="preserve">Substantial Amendments were made to remove Housing Rehabilitation and Public Services as goals and to refocus the allocation of funds towards Public Facilities and Infrastructure. </w:t>
      </w:r>
    </w:p>
    <w:p w14:paraId="0C17C404" w14:textId="70E71874" w:rsidR="00DB2D38" w:rsidRDefault="00DB2D38">
      <w:pPr>
        <w:pStyle w:val="BodyText"/>
        <w:spacing w:before="192"/>
        <w:ind w:left="1440" w:right="1436"/>
        <w:jc w:val="both"/>
      </w:pPr>
    </w:p>
    <w:p w14:paraId="06C79610" w14:textId="0EB5610A" w:rsidR="00093921" w:rsidRDefault="00093921">
      <w:pPr>
        <w:rPr>
          <w:sz w:val="36"/>
          <w:szCs w:val="24"/>
        </w:rPr>
      </w:pPr>
      <w:r>
        <w:rPr>
          <w:sz w:val="36"/>
        </w:rPr>
        <w:br w:type="page"/>
      </w:r>
    </w:p>
    <w:p w14:paraId="5F588550" w14:textId="77777777" w:rsidR="00DB2D38" w:rsidRDefault="00DB2D38">
      <w:pPr>
        <w:pStyle w:val="BodyText"/>
        <w:spacing w:before="2"/>
        <w:rPr>
          <w:sz w:val="36"/>
        </w:rPr>
      </w:pPr>
    </w:p>
    <w:p w14:paraId="31D497AA" w14:textId="77777777" w:rsidR="00DB2D38" w:rsidRDefault="00394B9B">
      <w:pPr>
        <w:pStyle w:val="Heading2"/>
        <w:rPr>
          <w:rFonts w:ascii="Arial"/>
        </w:rPr>
      </w:pPr>
      <w:r>
        <w:rPr>
          <w:rFonts w:ascii="Arial"/>
        </w:rPr>
        <w:t>Regarding Other Category:</w:t>
      </w:r>
    </w:p>
    <w:p w14:paraId="2691AB0C" w14:textId="0AB643E7" w:rsidR="00DB2D38" w:rsidRDefault="00394B9B" w:rsidP="00675659">
      <w:pPr>
        <w:pStyle w:val="BodyText"/>
        <w:spacing w:before="192" w:line="204" w:lineRule="auto"/>
        <w:ind w:left="1440" w:right="2120"/>
        <w:jc w:val="both"/>
        <w:rPr>
          <w:rFonts w:ascii="Times New Roman"/>
          <w:sz w:val="18"/>
        </w:rPr>
      </w:pPr>
      <w:r>
        <w:t>CV-COVID activities were approved along the same timeline as the CDBG funds, and therefore subject to the same delays in implementation.</w:t>
      </w:r>
    </w:p>
    <w:p w14:paraId="3D5BAF52" w14:textId="77777777" w:rsidR="00DB2D38" w:rsidRDefault="00394B9B">
      <w:pPr>
        <w:pStyle w:val="Heading2"/>
        <w:spacing w:before="93"/>
        <w:rPr>
          <w:rFonts w:ascii="Arial"/>
        </w:rPr>
      </w:pPr>
      <w:r>
        <w:rPr>
          <w:rFonts w:ascii="Arial"/>
        </w:rPr>
        <w:t>Leveraging</w:t>
      </w:r>
    </w:p>
    <w:p w14:paraId="0161ACF7" w14:textId="77777777" w:rsidR="00DB2D38" w:rsidRDefault="00394B9B">
      <w:pPr>
        <w:spacing w:before="198"/>
        <w:ind w:left="1440" w:right="1493"/>
        <w:jc w:val="both"/>
        <w:rPr>
          <w:rFonts w:ascii="Calibri"/>
          <w:b/>
          <w:sz w:val="24"/>
        </w:rPr>
      </w:pPr>
      <w:r>
        <w:rPr>
          <w:rFonts w:ascii="Calibri"/>
          <w:b/>
          <w:sz w:val="24"/>
        </w:rPr>
        <w:t xml:space="preserve">Explain how federal funds leveraged additional resources (private, </w:t>
      </w:r>
      <w:proofErr w:type="gramStart"/>
      <w:r>
        <w:rPr>
          <w:rFonts w:ascii="Calibri"/>
          <w:b/>
          <w:sz w:val="24"/>
        </w:rPr>
        <w:t>state</w:t>
      </w:r>
      <w:proofErr w:type="gramEnd"/>
      <w:r>
        <w:rPr>
          <w:rFonts w:ascii="Calibri"/>
          <w:b/>
          <w:sz w:val="24"/>
        </w:rPr>
        <w:t xml:space="preserve"> and local funds), including a description of how matching requirements</w:t>
      </w:r>
      <w:r>
        <w:rPr>
          <w:rFonts w:ascii="Calibri"/>
          <w:b/>
          <w:spacing w:val="-2"/>
          <w:sz w:val="24"/>
        </w:rPr>
        <w:t xml:space="preserve"> </w:t>
      </w:r>
      <w:r>
        <w:rPr>
          <w:rFonts w:ascii="Calibri"/>
          <w:b/>
          <w:sz w:val="24"/>
        </w:rPr>
        <w:t>were</w:t>
      </w:r>
      <w:r>
        <w:rPr>
          <w:rFonts w:ascii="Calibri"/>
          <w:b/>
          <w:spacing w:val="-5"/>
          <w:sz w:val="24"/>
        </w:rPr>
        <w:t xml:space="preserve"> </w:t>
      </w:r>
      <w:r>
        <w:rPr>
          <w:rFonts w:ascii="Calibri"/>
          <w:b/>
          <w:sz w:val="24"/>
        </w:rPr>
        <w:t>satisfied,</w:t>
      </w:r>
      <w:r>
        <w:rPr>
          <w:rFonts w:ascii="Calibri"/>
          <w:b/>
          <w:spacing w:val="-1"/>
          <w:sz w:val="24"/>
        </w:rPr>
        <w:t xml:space="preserve"> </w:t>
      </w:r>
      <w:r>
        <w:rPr>
          <w:rFonts w:ascii="Calibri"/>
          <w:b/>
          <w:sz w:val="24"/>
        </w:rPr>
        <w:t>as</w:t>
      </w:r>
      <w:r>
        <w:rPr>
          <w:rFonts w:ascii="Calibri"/>
          <w:b/>
          <w:spacing w:val="-4"/>
          <w:sz w:val="24"/>
        </w:rPr>
        <w:t xml:space="preserve"> </w:t>
      </w:r>
      <w:r>
        <w:rPr>
          <w:rFonts w:ascii="Calibri"/>
          <w:b/>
          <w:sz w:val="24"/>
        </w:rPr>
        <w:t>well</w:t>
      </w:r>
      <w:r>
        <w:rPr>
          <w:rFonts w:ascii="Calibri"/>
          <w:b/>
          <w:spacing w:val="-1"/>
          <w:sz w:val="24"/>
        </w:rPr>
        <w:t xml:space="preserve"> </w:t>
      </w:r>
      <w:r>
        <w:rPr>
          <w:rFonts w:ascii="Calibri"/>
          <w:b/>
          <w:sz w:val="24"/>
        </w:rPr>
        <w:t>as</w:t>
      </w:r>
      <w:r>
        <w:rPr>
          <w:rFonts w:ascii="Calibri"/>
          <w:b/>
          <w:spacing w:val="-3"/>
          <w:sz w:val="24"/>
        </w:rPr>
        <w:t xml:space="preserve"> </w:t>
      </w:r>
      <w:r>
        <w:rPr>
          <w:rFonts w:ascii="Calibri"/>
          <w:b/>
          <w:sz w:val="24"/>
        </w:rPr>
        <w:t>how any</w:t>
      </w:r>
      <w:r>
        <w:rPr>
          <w:rFonts w:ascii="Calibri"/>
          <w:b/>
          <w:spacing w:val="-5"/>
          <w:sz w:val="24"/>
        </w:rPr>
        <w:t xml:space="preserve"> </w:t>
      </w:r>
      <w:r>
        <w:rPr>
          <w:rFonts w:ascii="Calibri"/>
          <w:b/>
          <w:sz w:val="24"/>
        </w:rPr>
        <w:t>publicly</w:t>
      </w:r>
      <w:r>
        <w:rPr>
          <w:rFonts w:ascii="Calibri"/>
          <w:b/>
          <w:spacing w:val="-5"/>
          <w:sz w:val="24"/>
        </w:rPr>
        <w:t xml:space="preserve"> </w:t>
      </w:r>
      <w:r>
        <w:rPr>
          <w:rFonts w:ascii="Calibri"/>
          <w:b/>
          <w:sz w:val="24"/>
        </w:rPr>
        <w:t>owned</w:t>
      </w:r>
      <w:r>
        <w:rPr>
          <w:rFonts w:ascii="Calibri"/>
          <w:b/>
          <w:spacing w:val="-1"/>
          <w:sz w:val="24"/>
        </w:rPr>
        <w:t xml:space="preserve"> </w:t>
      </w:r>
      <w:r>
        <w:rPr>
          <w:rFonts w:ascii="Calibri"/>
          <w:b/>
          <w:sz w:val="24"/>
        </w:rPr>
        <w:t>land</w:t>
      </w:r>
      <w:r>
        <w:rPr>
          <w:rFonts w:ascii="Calibri"/>
          <w:b/>
          <w:spacing w:val="-2"/>
          <w:sz w:val="24"/>
        </w:rPr>
        <w:t xml:space="preserve"> </w:t>
      </w:r>
      <w:r>
        <w:rPr>
          <w:rFonts w:ascii="Calibri"/>
          <w:b/>
          <w:sz w:val="24"/>
        </w:rPr>
        <w:t>or</w:t>
      </w:r>
      <w:r>
        <w:rPr>
          <w:rFonts w:ascii="Calibri"/>
          <w:b/>
          <w:spacing w:val="-3"/>
          <w:sz w:val="24"/>
        </w:rPr>
        <w:t xml:space="preserve"> </w:t>
      </w:r>
      <w:r>
        <w:rPr>
          <w:rFonts w:ascii="Calibri"/>
          <w:b/>
          <w:sz w:val="24"/>
        </w:rPr>
        <w:t>property</w:t>
      </w:r>
      <w:r>
        <w:rPr>
          <w:rFonts w:ascii="Calibri"/>
          <w:b/>
          <w:spacing w:val="-2"/>
          <w:sz w:val="24"/>
        </w:rPr>
        <w:t xml:space="preserve"> </w:t>
      </w:r>
      <w:r>
        <w:rPr>
          <w:rFonts w:ascii="Calibri"/>
          <w:b/>
          <w:sz w:val="24"/>
        </w:rPr>
        <w:t>located</w:t>
      </w:r>
      <w:r>
        <w:rPr>
          <w:rFonts w:ascii="Calibri"/>
          <w:b/>
          <w:spacing w:val="-2"/>
          <w:sz w:val="24"/>
        </w:rPr>
        <w:t xml:space="preserve"> </w:t>
      </w:r>
      <w:r>
        <w:rPr>
          <w:rFonts w:ascii="Calibri"/>
          <w:b/>
          <w:sz w:val="24"/>
        </w:rPr>
        <w:t>within</w:t>
      </w:r>
      <w:r>
        <w:rPr>
          <w:rFonts w:ascii="Calibri"/>
          <w:b/>
          <w:spacing w:val="-6"/>
          <w:sz w:val="24"/>
        </w:rPr>
        <w:t xml:space="preserve"> </w:t>
      </w:r>
      <w:r>
        <w:rPr>
          <w:rFonts w:ascii="Calibri"/>
          <w:b/>
          <w:sz w:val="24"/>
        </w:rPr>
        <w:t>the</w:t>
      </w:r>
      <w:r>
        <w:rPr>
          <w:rFonts w:ascii="Calibri"/>
          <w:b/>
          <w:spacing w:val="-3"/>
          <w:sz w:val="24"/>
        </w:rPr>
        <w:t xml:space="preserve"> </w:t>
      </w:r>
      <w:r>
        <w:rPr>
          <w:rFonts w:ascii="Calibri"/>
          <w:b/>
          <w:sz w:val="24"/>
        </w:rPr>
        <w:t>jurisdiction</w:t>
      </w:r>
      <w:r>
        <w:rPr>
          <w:rFonts w:ascii="Calibri"/>
          <w:b/>
          <w:spacing w:val="-2"/>
          <w:sz w:val="24"/>
        </w:rPr>
        <w:t xml:space="preserve"> </w:t>
      </w:r>
      <w:r>
        <w:rPr>
          <w:rFonts w:ascii="Calibri"/>
          <w:b/>
          <w:sz w:val="24"/>
        </w:rPr>
        <w:t>that</w:t>
      </w:r>
      <w:r>
        <w:rPr>
          <w:rFonts w:ascii="Calibri"/>
          <w:b/>
          <w:spacing w:val="-3"/>
          <w:sz w:val="24"/>
        </w:rPr>
        <w:t xml:space="preserve"> </w:t>
      </w:r>
      <w:r>
        <w:rPr>
          <w:rFonts w:ascii="Calibri"/>
          <w:b/>
          <w:sz w:val="24"/>
        </w:rPr>
        <w:t>were</w:t>
      </w:r>
      <w:r>
        <w:rPr>
          <w:rFonts w:ascii="Calibri"/>
          <w:b/>
          <w:spacing w:val="-3"/>
          <w:sz w:val="24"/>
        </w:rPr>
        <w:t xml:space="preserve"> </w:t>
      </w:r>
      <w:r>
        <w:rPr>
          <w:rFonts w:ascii="Calibri"/>
          <w:b/>
          <w:sz w:val="24"/>
        </w:rPr>
        <w:t>used</w:t>
      </w:r>
      <w:r>
        <w:rPr>
          <w:rFonts w:ascii="Calibri"/>
          <w:b/>
          <w:spacing w:val="-2"/>
          <w:sz w:val="24"/>
        </w:rPr>
        <w:t xml:space="preserve"> </w:t>
      </w:r>
      <w:r>
        <w:rPr>
          <w:rFonts w:ascii="Calibri"/>
          <w:b/>
          <w:sz w:val="24"/>
        </w:rPr>
        <w:t>to address the needs identified in the</w:t>
      </w:r>
      <w:r>
        <w:rPr>
          <w:rFonts w:ascii="Calibri"/>
          <w:b/>
          <w:spacing w:val="-6"/>
          <w:sz w:val="24"/>
        </w:rPr>
        <w:t xml:space="preserve"> </w:t>
      </w:r>
      <w:r>
        <w:rPr>
          <w:rFonts w:ascii="Calibri"/>
          <w:b/>
          <w:sz w:val="24"/>
        </w:rPr>
        <w:t>plan.</w:t>
      </w:r>
    </w:p>
    <w:p w14:paraId="1B3540D9" w14:textId="77777777" w:rsidR="00DB2D38" w:rsidRDefault="00DB2D38">
      <w:pPr>
        <w:pStyle w:val="BodyText"/>
        <w:spacing w:before="3"/>
        <w:rPr>
          <w:rFonts w:ascii="Calibri"/>
          <w:b/>
          <w:sz w:val="23"/>
        </w:rPr>
      </w:pPr>
    </w:p>
    <w:p w14:paraId="65057263" w14:textId="2047492F" w:rsidR="00DB2D38" w:rsidRDefault="00394B9B" w:rsidP="00675659">
      <w:pPr>
        <w:pStyle w:val="BodyText"/>
        <w:spacing w:line="276" w:lineRule="auto"/>
        <w:ind w:left="1440" w:right="1442"/>
        <w:jc w:val="both"/>
      </w:pPr>
      <w:r>
        <w:t xml:space="preserve">The City plans to leverage funds with city-funded projects and CDBG applications to address and support the community needs identified in the Consolidated Plan. The </w:t>
      </w:r>
      <w:proofErr w:type="gramStart"/>
      <w:r>
        <w:t>City</w:t>
      </w:r>
      <w:proofErr w:type="gramEnd"/>
      <w:r>
        <w:t xml:space="preserve"> encourages partnerships when addressing and supporting community needs. Projects and activities that help fill the gap and allow housing and service agencies to access additional funds are considered when prioritizing projects. </w:t>
      </w:r>
    </w:p>
    <w:p w14:paraId="1D023617" w14:textId="77777777" w:rsidR="00DB2D38" w:rsidRDefault="00DB2D38">
      <w:pPr>
        <w:spacing w:line="276" w:lineRule="auto"/>
        <w:jc w:val="both"/>
        <w:sectPr w:rsidR="00DB2D38">
          <w:pgSz w:w="15840" w:h="12240" w:orient="landscape"/>
          <w:pgMar w:top="1140" w:right="0" w:bottom="1200" w:left="0" w:header="0" w:footer="1009" w:gutter="0"/>
          <w:cols w:space="720"/>
        </w:sectPr>
      </w:pPr>
    </w:p>
    <w:p w14:paraId="78E1E4B9" w14:textId="77777777" w:rsidR="00DB2D38" w:rsidRDefault="00DB2D38">
      <w:pPr>
        <w:pStyle w:val="BodyText"/>
        <w:spacing w:before="5"/>
        <w:rPr>
          <w:sz w:val="22"/>
        </w:rPr>
      </w:pPr>
    </w:p>
    <w:p w14:paraId="0D107B48" w14:textId="77777777" w:rsidR="00DB2D38" w:rsidRDefault="00394B9B">
      <w:pPr>
        <w:pStyle w:val="Heading1"/>
      </w:pPr>
      <w:r>
        <w:t>CR-20 - Affordable Housing 91.520(b)</w:t>
      </w:r>
    </w:p>
    <w:p w14:paraId="4C562630" w14:textId="77777777" w:rsidR="00DB2D38" w:rsidRDefault="00394B9B">
      <w:pPr>
        <w:pStyle w:val="Heading2"/>
        <w:spacing w:before="109"/>
        <w:ind w:right="1727"/>
      </w:pPr>
      <w:r>
        <w:t>Evaluation of the jurisdiction's progress in providing affordable housing, including the number and types of families served, the number of extremely low-income, low-income, moderate-income, and middle-income persons served.</w:t>
      </w:r>
    </w:p>
    <w:p w14:paraId="2003DFA6" w14:textId="77777777" w:rsidR="00DB2D38" w:rsidRDefault="00DB2D38">
      <w:pPr>
        <w:pStyle w:val="BodyText"/>
        <w:rPr>
          <w:rFonts w:ascii="Calibri"/>
          <w:b/>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7"/>
        <w:gridCol w:w="3577"/>
        <w:gridCol w:w="3579"/>
      </w:tblGrid>
      <w:tr w:rsidR="00DB2D38" w14:paraId="77ABC519" w14:textId="77777777">
        <w:trPr>
          <w:trHeight w:val="268"/>
        </w:trPr>
        <w:tc>
          <w:tcPr>
            <w:tcW w:w="5797" w:type="dxa"/>
          </w:tcPr>
          <w:p w14:paraId="4FA79F79" w14:textId="77777777" w:rsidR="00DB2D38" w:rsidRDefault="00DB2D38">
            <w:pPr>
              <w:pStyle w:val="TableParagraph"/>
              <w:rPr>
                <w:rFonts w:ascii="Times New Roman"/>
                <w:sz w:val="18"/>
              </w:rPr>
            </w:pPr>
          </w:p>
        </w:tc>
        <w:tc>
          <w:tcPr>
            <w:tcW w:w="3577" w:type="dxa"/>
          </w:tcPr>
          <w:p w14:paraId="6C9DB953" w14:textId="77777777" w:rsidR="00DB2D38" w:rsidRDefault="00394B9B">
            <w:pPr>
              <w:pStyle w:val="TableParagraph"/>
              <w:spacing w:line="248" w:lineRule="exact"/>
              <w:ind w:left="1122"/>
              <w:rPr>
                <w:b/>
              </w:rPr>
            </w:pPr>
            <w:r>
              <w:rPr>
                <w:b/>
              </w:rPr>
              <w:t>One-Year Goal</w:t>
            </w:r>
          </w:p>
        </w:tc>
        <w:tc>
          <w:tcPr>
            <w:tcW w:w="3579" w:type="dxa"/>
          </w:tcPr>
          <w:p w14:paraId="79DB9338" w14:textId="77777777" w:rsidR="00DB2D38" w:rsidRDefault="00394B9B">
            <w:pPr>
              <w:pStyle w:val="TableParagraph"/>
              <w:spacing w:line="248" w:lineRule="exact"/>
              <w:ind w:left="1477" w:right="1468"/>
              <w:jc w:val="center"/>
              <w:rPr>
                <w:b/>
              </w:rPr>
            </w:pPr>
            <w:r>
              <w:rPr>
                <w:b/>
              </w:rPr>
              <w:t>Actual</w:t>
            </w:r>
          </w:p>
        </w:tc>
      </w:tr>
      <w:tr w:rsidR="00DB2D38" w14:paraId="6D0F0B2D" w14:textId="77777777">
        <w:trPr>
          <w:trHeight w:val="619"/>
        </w:trPr>
        <w:tc>
          <w:tcPr>
            <w:tcW w:w="5797" w:type="dxa"/>
          </w:tcPr>
          <w:p w14:paraId="13B556BB" w14:textId="77777777" w:rsidR="00DB2D38" w:rsidRDefault="00394B9B">
            <w:pPr>
              <w:pStyle w:val="TableParagraph"/>
              <w:spacing w:line="268" w:lineRule="exact"/>
              <w:ind w:left="115"/>
            </w:pPr>
            <w:r>
              <w:t xml:space="preserve">Number of Homeless households to be provided </w:t>
            </w:r>
            <w:proofErr w:type="gramStart"/>
            <w:r>
              <w:t>affordable</w:t>
            </w:r>
            <w:proofErr w:type="gramEnd"/>
          </w:p>
          <w:p w14:paraId="2ECD0725" w14:textId="77777777" w:rsidR="00DB2D38" w:rsidRDefault="00394B9B">
            <w:pPr>
              <w:pStyle w:val="TableParagraph"/>
              <w:spacing w:before="41"/>
              <w:ind w:left="115"/>
            </w:pPr>
            <w:r>
              <w:t>housing units</w:t>
            </w:r>
          </w:p>
        </w:tc>
        <w:tc>
          <w:tcPr>
            <w:tcW w:w="3577" w:type="dxa"/>
          </w:tcPr>
          <w:p w14:paraId="0A97EDA9" w14:textId="77777777" w:rsidR="00DB2D38" w:rsidRDefault="00DB2D38">
            <w:pPr>
              <w:pStyle w:val="TableParagraph"/>
              <w:spacing w:before="4"/>
              <w:rPr>
                <w:b/>
                <w:sz w:val="25"/>
              </w:rPr>
            </w:pPr>
          </w:p>
          <w:p w14:paraId="0185305C" w14:textId="77777777" w:rsidR="00DB2D38" w:rsidRDefault="00394B9B">
            <w:pPr>
              <w:pStyle w:val="TableParagraph"/>
              <w:ind w:right="102"/>
              <w:jc w:val="right"/>
            </w:pPr>
            <w:r>
              <w:t>0</w:t>
            </w:r>
          </w:p>
        </w:tc>
        <w:tc>
          <w:tcPr>
            <w:tcW w:w="3579" w:type="dxa"/>
          </w:tcPr>
          <w:p w14:paraId="6D9CE33B" w14:textId="77777777" w:rsidR="00DB2D38" w:rsidRDefault="00DB2D38">
            <w:pPr>
              <w:pStyle w:val="TableParagraph"/>
              <w:spacing w:before="4"/>
              <w:rPr>
                <w:b/>
                <w:sz w:val="25"/>
              </w:rPr>
            </w:pPr>
          </w:p>
          <w:p w14:paraId="36C635E9" w14:textId="77777777" w:rsidR="00DB2D38" w:rsidRDefault="00394B9B">
            <w:pPr>
              <w:pStyle w:val="TableParagraph"/>
              <w:ind w:right="102"/>
              <w:jc w:val="right"/>
            </w:pPr>
            <w:r>
              <w:t>0</w:t>
            </w:r>
          </w:p>
        </w:tc>
      </w:tr>
      <w:tr w:rsidR="00DB2D38" w14:paraId="68F197EA" w14:textId="77777777">
        <w:trPr>
          <w:trHeight w:val="616"/>
        </w:trPr>
        <w:tc>
          <w:tcPr>
            <w:tcW w:w="5797" w:type="dxa"/>
          </w:tcPr>
          <w:p w14:paraId="752CADE3" w14:textId="77777777" w:rsidR="00DB2D38" w:rsidRDefault="00394B9B">
            <w:pPr>
              <w:pStyle w:val="TableParagraph"/>
              <w:spacing w:line="268" w:lineRule="exact"/>
              <w:ind w:left="115"/>
            </w:pPr>
            <w:r>
              <w:t xml:space="preserve">Number of Non-Homeless households to be </w:t>
            </w:r>
            <w:proofErr w:type="gramStart"/>
            <w:r>
              <w:t>provided</w:t>
            </w:r>
            <w:proofErr w:type="gramEnd"/>
          </w:p>
          <w:p w14:paraId="4E17D713" w14:textId="77777777" w:rsidR="00DB2D38" w:rsidRDefault="00394B9B">
            <w:pPr>
              <w:pStyle w:val="TableParagraph"/>
              <w:spacing w:before="38"/>
              <w:ind w:left="115"/>
            </w:pPr>
            <w:r>
              <w:t>affordable housing units</w:t>
            </w:r>
          </w:p>
        </w:tc>
        <w:tc>
          <w:tcPr>
            <w:tcW w:w="3577" w:type="dxa"/>
          </w:tcPr>
          <w:p w14:paraId="03A2C641" w14:textId="77777777" w:rsidR="00DB2D38" w:rsidRDefault="00DB2D38">
            <w:pPr>
              <w:pStyle w:val="TableParagraph"/>
              <w:spacing w:before="1"/>
              <w:rPr>
                <w:b/>
                <w:sz w:val="25"/>
              </w:rPr>
            </w:pPr>
          </w:p>
          <w:p w14:paraId="169C50A1" w14:textId="14667DFE" w:rsidR="00DB2D38" w:rsidRDefault="00C13927">
            <w:pPr>
              <w:pStyle w:val="TableParagraph"/>
              <w:ind w:right="102"/>
              <w:jc w:val="right"/>
            </w:pPr>
            <w:r>
              <w:t>1</w:t>
            </w:r>
            <w:r w:rsidR="00394B9B">
              <w:t>0</w:t>
            </w:r>
          </w:p>
        </w:tc>
        <w:tc>
          <w:tcPr>
            <w:tcW w:w="3579" w:type="dxa"/>
          </w:tcPr>
          <w:p w14:paraId="05CDFFFE" w14:textId="77777777" w:rsidR="00DB2D38" w:rsidRDefault="00DB2D38">
            <w:pPr>
              <w:pStyle w:val="TableParagraph"/>
              <w:spacing w:before="1"/>
              <w:rPr>
                <w:b/>
                <w:sz w:val="25"/>
              </w:rPr>
            </w:pPr>
          </w:p>
          <w:p w14:paraId="4AE25C09" w14:textId="77777777" w:rsidR="00DB2D38" w:rsidRDefault="00394B9B">
            <w:pPr>
              <w:pStyle w:val="TableParagraph"/>
              <w:ind w:right="102"/>
              <w:jc w:val="right"/>
            </w:pPr>
            <w:r>
              <w:t>0</w:t>
            </w:r>
          </w:p>
        </w:tc>
      </w:tr>
      <w:tr w:rsidR="00DB2D38" w14:paraId="69FB0615" w14:textId="77777777">
        <w:trPr>
          <w:trHeight w:val="618"/>
        </w:trPr>
        <w:tc>
          <w:tcPr>
            <w:tcW w:w="5797" w:type="dxa"/>
          </w:tcPr>
          <w:p w14:paraId="175DD343" w14:textId="77777777" w:rsidR="00DB2D38" w:rsidRDefault="00394B9B">
            <w:pPr>
              <w:pStyle w:val="TableParagraph"/>
              <w:spacing w:line="268" w:lineRule="exact"/>
              <w:ind w:left="115"/>
            </w:pPr>
            <w:r>
              <w:t xml:space="preserve">Number of Special-Needs households to be </w:t>
            </w:r>
            <w:proofErr w:type="gramStart"/>
            <w:r>
              <w:t>provided</w:t>
            </w:r>
            <w:proofErr w:type="gramEnd"/>
          </w:p>
          <w:p w14:paraId="057E705C" w14:textId="77777777" w:rsidR="00DB2D38" w:rsidRDefault="00394B9B">
            <w:pPr>
              <w:pStyle w:val="TableParagraph"/>
              <w:spacing w:before="41"/>
              <w:ind w:left="115"/>
            </w:pPr>
            <w:r>
              <w:t>affordable housing units</w:t>
            </w:r>
          </w:p>
        </w:tc>
        <w:tc>
          <w:tcPr>
            <w:tcW w:w="3577" w:type="dxa"/>
          </w:tcPr>
          <w:p w14:paraId="5EA923AE" w14:textId="77777777" w:rsidR="00DB2D38" w:rsidRDefault="00DB2D38">
            <w:pPr>
              <w:pStyle w:val="TableParagraph"/>
              <w:spacing w:before="3"/>
              <w:rPr>
                <w:b/>
                <w:sz w:val="25"/>
              </w:rPr>
            </w:pPr>
          </w:p>
          <w:p w14:paraId="19CAB523" w14:textId="77777777" w:rsidR="00DB2D38" w:rsidRDefault="00394B9B">
            <w:pPr>
              <w:pStyle w:val="TableParagraph"/>
              <w:ind w:right="102"/>
              <w:jc w:val="right"/>
            </w:pPr>
            <w:r>
              <w:t>0</w:t>
            </w:r>
          </w:p>
        </w:tc>
        <w:tc>
          <w:tcPr>
            <w:tcW w:w="3579" w:type="dxa"/>
          </w:tcPr>
          <w:p w14:paraId="1093BAE9" w14:textId="77777777" w:rsidR="00DB2D38" w:rsidRDefault="00DB2D38">
            <w:pPr>
              <w:pStyle w:val="TableParagraph"/>
              <w:spacing w:before="3"/>
              <w:rPr>
                <w:b/>
                <w:sz w:val="25"/>
              </w:rPr>
            </w:pPr>
          </w:p>
          <w:p w14:paraId="0E764328" w14:textId="77777777" w:rsidR="00DB2D38" w:rsidRDefault="00394B9B">
            <w:pPr>
              <w:pStyle w:val="TableParagraph"/>
              <w:ind w:right="102"/>
              <w:jc w:val="right"/>
            </w:pPr>
            <w:r>
              <w:t>0</w:t>
            </w:r>
          </w:p>
        </w:tc>
      </w:tr>
      <w:tr w:rsidR="00DB2D38" w14:paraId="75A5A7F0" w14:textId="77777777">
        <w:trPr>
          <w:trHeight w:val="309"/>
        </w:trPr>
        <w:tc>
          <w:tcPr>
            <w:tcW w:w="5797" w:type="dxa"/>
          </w:tcPr>
          <w:p w14:paraId="5E254871" w14:textId="77777777" w:rsidR="00DB2D38" w:rsidRDefault="00394B9B">
            <w:pPr>
              <w:pStyle w:val="TableParagraph"/>
              <w:spacing w:line="268" w:lineRule="exact"/>
              <w:ind w:left="115"/>
              <w:rPr>
                <w:b/>
              </w:rPr>
            </w:pPr>
            <w:r>
              <w:rPr>
                <w:b/>
              </w:rPr>
              <w:t>Total</w:t>
            </w:r>
          </w:p>
        </w:tc>
        <w:tc>
          <w:tcPr>
            <w:tcW w:w="3577" w:type="dxa"/>
          </w:tcPr>
          <w:p w14:paraId="5758F7B5" w14:textId="3AFC22C9" w:rsidR="00DB2D38" w:rsidRDefault="00C13927">
            <w:pPr>
              <w:pStyle w:val="TableParagraph"/>
              <w:spacing w:line="268" w:lineRule="exact"/>
              <w:ind w:right="102"/>
              <w:jc w:val="right"/>
              <w:rPr>
                <w:b/>
              </w:rPr>
            </w:pPr>
            <w:r>
              <w:rPr>
                <w:b/>
              </w:rPr>
              <w:t>1</w:t>
            </w:r>
            <w:r w:rsidR="00394B9B">
              <w:rPr>
                <w:b/>
              </w:rPr>
              <w:t>0</w:t>
            </w:r>
          </w:p>
        </w:tc>
        <w:tc>
          <w:tcPr>
            <w:tcW w:w="3579" w:type="dxa"/>
          </w:tcPr>
          <w:p w14:paraId="0B23C0BC" w14:textId="77777777" w:rsidR="00DB2D38" w:rsidRDefault="00394B9B">
            <w:pPr>
              <w:pStyle w:val="TableParagraph"/>
              <w:spacing w:line="268" w:lineRule="exact"/>
              <w:ind w:right="102"/>
              <w:jc w:val="right"/>
              <w:rPr>
                <w:b/>
              </w:rPr>
            </w:pPr>
            <w:r>
              <w:rPr>
                <w:b/>
              </w:rPr>
              <w:t>0</w:t>
            </w:r>
          </w:p>
        </w:tc>
      </w:tr>
    </w:tbl>
    <w:p w14:paraId="6F289281" w14:textId="77777777" w:rsidR="00DB2D38" w:rsidRDefault="00394B9B">
      <w:pPr>
        <w:ind w:left="751" w:right="751"/>
        <w:jc w:val="center"/>
        <w:rPr>
          <w:rFonts w:ascii="Calibri" w:hAnsi="Calibri"/>
          <w:b/>
          <w:sz w:val="20"/>
        </w:rPr>
      </w:pPr>
      <w:r>
        <w:rPr>
          <w:rFonts w:ascii="Calibri" w:hAnsi="Calibri"/>
          <w:b/>
          <w:sz w:val="20"/>
        </w:rPr>
        <w:t>Table 5 – Number of Households</w:t>
      </w:r>
    </w:p>
    <w:p w14:paraId="0289437F" w14:textId="77777777" w:rsidR="00DB2D38" w:rsidRDefault="00DB2D38">
      <w:pPr>
        <w:pStyle w:val="BodyText"/>
        <w:rPr>
          <w:rFonts w:ascii="Calibri"/>
          <w:b/>
          <w:sz w:val="20"/>
        </w:rPr>
      </w:pPr>
    </w:p>
    <w:p w14:paraId="66EF1083" w14:textId="77777777" w:rsidR="00DB2D38" w:rsidRDefault="00DB2D38">
      <w:pPr>
        <w:pStyle w:val="BodyText"/>
        <w:rPr>
          <w:rFonts w:ascii="Calibri"/>
          <w:b/>
          <w:sz w:val="20"/>
        </w:rPr>
      </w:pPr>
    </w:p>
    <w:p w14:paraId="7C596654" w14:textId="77777777" w:rsidR="00DB2D38" w:rsidRDefault="00DB2D38">
      <w:pPr>
        <w:pStyle w:val="BodyText"/>
        <w:rPr>
          <w:rFonts w:ascii="Calibri"/>
          <w:b/>
          <w:sz w:val="20"/>
        </w:rPr>
      </w:pPr>
    </w:p>
    <w:p w14:paraId="0CB79536" w14:textId="77777777" w:rsidR="00DB2D38" w:rsidRDefault="00DB2D38">
      <w:pPr>
        <w:pStyle w:val="BodyText"/>
        <w:rPr>
          <w:rFonts w:ascii="Calibri"/>
          <w:b/>
          <w:sz w:val="20"/>
        </w:rPr>
      </w:pPr>
    </w:p>
    <w:p w14:paraId="79E3F348" w14:textId="77777777" w:rsidR="00DB2D38" w:rsidRDefault="00DB2D38">
      <w:pPr>
        <w:pStyle w:val="BodyText"/>
        <w:rPr>
          <w:rFonts w:ascii="Calibri"/>
          <w:b/>
          <w:sz w:val="20"/>
        </w:rPr>
      </w:pPr>
    </w:p>
    <w:p w14:paraId="38F919FA" w14:textId="77777777" w:rsidR="00DB2D38" w:rsidRDefault="00DB2D38">
      <w:pPr>
        <w:pStyle w:val="BodyText"/>
        <w:rPr>
          <w:rFonts w:ascii="Calibri"/>
          <w:b/>
          <w:sz w:val="25"/>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7"/>
        <w:gridCol w:w="3577"/>
        <w:gridCol w:w="3579"/>
      </w:tblGrid>
      <w:tr w:rsidR="00DB2D38" w14:paraId="5400DEA5" w14:textId="77777777">
        <w:trPr>
          <w:trHeight w:val="270"/>
        </w:trPr>
        <w:tc>
          <w:tcPr>
            <w:tcW w:w="5797" w:type="dxa"/>
          </w:tcPr>
          <w:p w14:paraId="4766595F" w14:textId="77777777" w:rsidR="00DB2D38" w:rsidRDefault="00DB2D38">
            <w:pPr>
              <w:pStyle w:val="TableParagraph"/>
              <w:rPr>
                <w:rFonts w:ascii="Times New Roman"/>
                <w:sz w:val="20"/>
              </w:rPr>
            </w:pPr>
          </w:p>
        </w:tc>
        <w:tc>
          <w:tcPr>
            <w:tcW w:w="3577" w:type="dxa"/>
          </w:tcPr>
          <w:p w14:paraId="3C7F6B47" w14:textId="77777777" w:rsidR="00DB2D38" w:rsidRDefault="00394B9B">
            <w:pPr>
              <w:pStyle w:val="TableParagraph"/>
              <w:spacing w:before="1" w:line="249" w:lineRule="exact"/>
              <w:ind w:left="1122"/>
              <w:rPr>
                <w:b/>
              </w:rPr>
            </w:pPr>
            <w:r>
              <w:rPr>
                <w:b/>
              </w:rPr>
              <w:t>One-Year Goal</w:t>
            </w:r>
          </w:p>
        </w:tc>
        <w:tc>
          <w:tcPr>
            <w:tcW w:w="3579" w:type="dxa"/>
          </w:tcPr>
          <w:p w14:paraId="7F434D7E" w14:textId="77777777" w:rsidR="00DB2D38" w:rsidRDefault="00394B9B">
            <w:pPr>
              <w:pStyle w:val="TableParagraph"/>
              <w:spacing w:before="1" w:line="249" w:lineRule="exact"/>
              <w:ind w:left="1477" w:right="1468"/>
              <w:jc w:val="center"/>
              <w:rPr>
                <w:b/>
              </w:rPr>
            </w:pPr>
            <w:r>
              <w:rPr>
                <w:b/>
              </w:rPr>
              <w:t>Actual</w:t>
            </w:r>
          </w:p>
        </w:tc>
      </w:tr>
      <w:tr w:rsidR="00DB2D38" w14:paraId="1E2AE3E2" w14:textId="77777777">
        <w:trPr>
          <w:trHeight w:val="306"/>
        </w:trPr>
        <w:tc>
          <w:tcPr>
            <w:tcW w:w="5797" w:type="dxa"/>
          </w:tcPr>
          <w:p w14:paraId="406A5428" w14:textId="77777777" w:rsidR="00DB2D38" w:rsidRDefault="00394B9B">
            <w:pPr>
              <w:pStyle w:val="TableParagraph"/>
              <w:spacing w:line="268" w:lineRule="exact"/>
              <w:ind w:left="115"/>
            </w:pPr>
            <w:r>
              <w:t>Number of households supported through Rental Assistance</w:t>
            </w:r>
          </w:p>
        </w:tc>
        <w:tc>
          <w:tcPr>
            <w:tcW w:w="3577" w:type="dxa"/>
          </w:tcPr>
          <w:p w14:paraId="4A2B51CE" w14:textId="77777777" w:rsidR="00DB2D38" w:rsidRDefault="00394B9B">
            <w:pPr>
              <w:pStyle w:val="TableParagraph"/>
              <w:spacing w:line="268" w:lineRule="exact"/>
              <w:ind w:right="102"/>
              <w:jc w:val="right"/>
            </w:pPr>
            <w:r>
              <w:t>0</w:t>
            </w:r>
          </w:p>
        </w:tc>
        <w:tc>
          <w:tcPr>
            <w:tcW w:w="3579" w:type="dxa"/>
          </w:tcPr>
          <w:p w14:paraId="7AEE2C6A" w14:textId="77777777" w:rsidR="00DB2D38" w:rsidRDefault="00394B9B">
            <w:pPr>
              <w:pStyle w:val="TableParagraph"/>
              <w:spacing w:line="268" w:lineRule="exact"/>
              <w:ind w:right="102"/>
              <w:jc w:val="right"/>
            </w:pPr>
            <w:r>
              <w:t>0</w:t>
            </w:r>
          </w:p>
        </w:tc>
      </w:tr>
      <w:tr w:rsidR="00DB2D38" w14:paraId="57A9E6C4" w14:textId="77777777">
        <w:trPr>
          <w:trHeight w:val="619"/>
        </w:trPr>
        <w:tc>
          <w:tcPr>
            <w:tcW w:w="5797" w:type="dxa"/>
          </w:tcPr>
          <w:p w14:paraId="6E7514DD" w14:textId="77777777" w:rsidR="00DB2D38" w:rsidRDefault="00394B9B">
            <w:pPr>
              <w:pStyle w:val="TableParagraph"/>
              <w:spacing w:before="1"/>
              <w:ind w:left="115"/>
            </w:pPr>
            <w:r>
              <w:t>Number of households supported through The Production of</w:t>
            </w:r>
          </w:p>
          <w:p w14:paraId="1CAE523B" w14:textId="77777777" w:rsidR="00DB2D38" w:rsidRDefault="00394B9B">
            <w:pPr>
              <w:pStyle w:val="TableParagraph"/>
              <w:spacing w:before="39"/>
              <w:ind w:left="115"/>
            </w:pPr>
            <w:r>
              <w:t>New Units</w:t>
            </w:r>
          </w:p>
        </w:tc>
        <w:tc>
          <w:tcPr>
            <w:tcW w:w="3577" w:type="dxa"/>
          </w:tcPr>
          <w:p w14:paraId="6695634B" w14:textId="77777777" w:rsidR="00DB2D38" w:rsidRDefault="00DB2D38">
            <w:pPr>
              <w:pStyle w:val="TableParagraph"/>
              <w:spacing w:before="3"/>
              <w:rPr>
                <w:b/>
                <w:sz w:val="25"/>
              </w:rPr>
            </w:pPr>
          </w:p>
          <w:p w14:paraId="0C0F277D" w14:textId="77777777" w:rsidR="00DB2D38" w:rsidRDefault="00394B9B">
            <w:pPr>
              <w:pStyle w:val="TableParagraph"/>
              <w:ind w:right="102"/>
              <w:jc w:val="right"/>
            </w:pPr>
            <w:r>
              <w:t>0</w:t>
            </w:r>
          </w:p>
        </w:tc>
        <w:tc>
          <w:tcPr>
            <w:tcW w:w="3579" w:type="dxa"/>
          </w:tcPr>
          <w:p w14:paraId="3C6AA7D3" w14:textId="77777777" w:rsidR="00DB2D38" w:rsidRDefault="00DB2D38">
            <w:pPr>
              <w:pStyle w:val="TableParagraph"/>
              <w:spacing w:before="3"/>
              <w:rPr>
                <w:b/>
                <w:sz w:val="25"/>
              </w:rPr>
            </w:pPr>
          </w:p>
          <w:p w14:paraId="62B51315" w14:textId="77777777" w:rsidR="00DB2D38" w:rsidRDefault="00394B9B">
            <w:pPr>
              <w:pStyle w:val="TableParagraph"/>
              <w:ind w:right="102"/>
              <w:jc w:val="right"/>
            </w:pPr>
            <w:r>
              <w:t>0</w:t>
            </w:r>
          </w:p>
        </w:tc>
      </w:tr>
      <w:tr w:rsidR="00DB2D38" w14:paraId="194390B0" w14:textId="77777777">
        <w:trPr>
          <w:trHeight w:val="616"/>
        </w:trPr>
        <w:tc>
          <w:tcPr>
            <w:tcW w:w="5797" w:type="dxa"/>
          </w:tcPr>
          <w:p w14:paraId="2C06DAC0" w14:textId="77777777" w:rsidR="00DB2D38" w:rsidRDefault="00394B9B">
            <w:pPr>
              <w:pStyle w:val="TableParagraph"/>
              <w:spacing w:line="268" w:lineRule="exact"/>
              <w:ind w:left="115"/>
            </w:pPr>
            <w:r>
              <w:t>Number of households supported through Rehab of Existing</w:t>
            </w:r>
          </w:p>
          <w:p w14:paraId="1E02C0A8" w14:textId="77777777" w:rsidR="00DB2D38" w:rsidRDefault="00394B9B">
            <w:pPr>
              <w:pStyle w:val="TableParagraph"/>
              <w:spacing w:before="41"/>
              <w:ind w:left="115"/>
            </w:pPr>
            <w:r>
              <w:t>Units</w:t>
            </w:r>
          </w:p>
        </w:tc>
        <w:tc>
          <w:tcPr>
            <w:tcW w:w="3577" w:type="dxa"/>
          </w:tcPr>
          <w:p w14:paraId="6AA5BCC1" w14:textId="77777777" w:rsidR="00DB2D38" w:rsidRDefault="00DB2D38">
            <w:pPr>
              <w:pStyle w:val="TableParagraph"/>
              <w:spacing w:before="3"/>
              <w:rPr>
                <w:b/>
                <w:sz w:val="25"/>
              </w:rPr>
            </w:pPr>
          </w:p>
          <w:p w14:paraId="73471C24" w14:textId="4A33D35D" w:rsidR="00DB2D38" w:rsidRDefault="00807150">
            <w:pPr>
              <w:pStyle w:val="TableParagraph"/>
              <w:ind w:right="102"/>
              <w:jc w:val="right"/>
            </w:pPr>
            <w:r>
              <w:t>0</w:t>
            </w:r>
          </w:p>
        </w:tc>
        <w:tc>
          <w:tcPr>
            <w:tcW w:w="3579" w:type="dxa"/>
          </w:tcPr>
          <w:p w14:paraId="0A0F7DBA" w14:textId="77777777" w:rsidR="00DB2D38" w:rsidRDefault="00DB2D38">
            <w:pPr>
              <w:pStyle w:val="TableParagraph"/>
              <w:spacing w:before="3"/>
              <w:rPr>
                <w:b/>
                <w:sz w:val="25"/>
              </w:rPr>
            </w:pPr>
          </w:p>
          <w:p w14:paraId="0F570ABC" w14:textId="77777777" w:rsidR="00DB2D38" w:rsidRDefault="00394B9B">
            <w:pPr>
              <w:pStyle w:val="TableParagraph"/>
              <w:ind w:right="102"/>
              <w:jc w:val="right"/>
            </w:pPr>
            <w:r>
              <w:t>0</w:t>
            </w:r>
          </w:p>
        </w:tc>
      </w:tr>
      <w:tr w:rsidR="00DB2D38" w14:paraId="3701A88D" w14:textId="77777777">
        <w:trPr>
          <w:trHeight w:val="618"/>
        </w:trPr>
        <w:tc>
          <w:tcPr>
            <w:tcW w:w="5797" w:type="dxa"/>
          </w:tcPr>
          <w:p w14:paraId="501260DD" w14:textId="77777777" w:rsidR="00DB2D38" w:rsidRDefault="00394B9B">
            <w:pPr>
              <w:pStyle w:val="TableParagraph"/>
              <w:spacing w:before="1"/>
              <w:ind w:left="115"/>
            </w:pPr>
            <w:r>
              <w:t>Number of households supported through Acquisition of</w:t>
            </w:r>
          </w:p>
          <w:p w14:paraId="6C1AEF93" w14:textId="77777777" w:rsidR="00DB2D38" w:rsidRDefault="00394B9B">
            <w:pPr>
              <w:pStyle w:val="TableParagraph"/>
              <w:spacing w:before="39"/>
              <w:ind w:left="115"/>
            </w:pPr>
            <w:r>
              <w:t>Existing Units</w:t>
            </w:r>
          </w:p>
        </w:tc>
        <w:tc>
          <w:tcPr>
            <w:tcW w:w="3577" w:type="dxa"/>
          </w:tcPr>
          <w:p w14:paraId="6065CCD1" w14:textId="77777777" w:rsidR="00DB2D38" w:rsidRDefault="00DB2D38">
            <w:pPr>
              <w:pStyle w:val="TableParagraph"/>
              <w:spacing w:before="3"/>
              <w:rPr>
                <w:b/>
                <w:sz w:val="25"/>
              </w:rPr>
            </w:pPr>
          </w:p>
          <w:p w14:paraId="3C6F55DA" w14:textId="77777777" w:rsidR="00DB2D38" w:rsidRDefault="00394B9B">
            <w:pPr>
              <w:pStyle w:val="TableParagraph"/>
              <w:ind w:right="102"/>
              <w:jc w:val="right"/>
            </w:pPr>
            <w:r>
              <w:t>0</w:t>
            </w:r>
          </w:p>
        </w:tc>
        <w:tc>
          <w:tcPr>
            <w:tcW w:w="3579" w:type="dxa"/>
          </w:tcPr>
          <w:p w14:paraId="163D6391" w14:textId="77777777" w:rsidR="00DB2D38" w:rsidRDefault="00DB2D38">
            <w:pPr>
              <w:pStyle w:val="TableParagraph"/>
              <w:spacing w:before="3"/>
              <w:rPr>
                <w:b/>
                <w:sz w:val="25"/>
              </w:rPr>
            </w:pPr>
          </w:p>
          <w:p w14:paraId="4C215D35" w14:textId="77777777" w:rsidR="00DB2D38" w:rsidRDefault="00394B9B">
            <w:pPr>
              <w:pStyle w:val="TableParagraph"/>
              <w:ind w:right="102"/>
              <w:jc w:val="right"/>
            </w:pPr>
            <w:r>
              <w:t>0</w:t>
            </w:r>
          </w:p>
        </w:tc>
      </w:tr>
      <w:tr w:rsidR="00DB2D38" w14:paraId="0BB98A08" w14:textId="77777777">
        <w:trPr>
          <w:trHeight w:val="309"/>
        </w:trPr>
        <w:tc>
          <w:tcPr>
            <w:tcW w:w="5797" w:type="dxa"/>
          </w:tcPr>
          <w:p w14:paraId="55ABEB15" w14:textId="77777777" w:rsidR="00DB2D38" w:rsidRDefault="00394B9B">
            <w:pPr>
              <w:pStyle w:val="TableParagraph"/>
              <w:spacing w:line="268" w:lineRule="exact"/>
              <w:ind w:left="115"/>
              <w:rPr>
                <w:b/>
              </w:rPr>
            </w:pPr>
            <w:r>
              <w:rPr>
                <w:b/>
              </w:rPr>
              <w:t>Total</w:t>
            </w:r>
          </w:p>
        </w:tc>
        <w:tc>
          <w:tcPr>
            <w:tcW w:w="3577" w:type="dxa"/>
          </w:tcPr>
          <w:p w14:paraId="3F6677DE" w14:textId="61FF2F3E" w:rsidR="00DB2D38" w:rsidRDefault="00394B9B">
            <w:pPr>
              <w:pStyle w:val="TableParagraph"/>
              <w:spacing w:line="268" w:lineRule="exact"/>
              <w:ind w:right="102"/>
              <w:jc w:val="right"/>
              <w:rPr>
                <w:b/>
              </w:rPr>
            </w:pPr>
            <w:r>
              <w:rPr>
                <w:b/>
              </w:rPr>
              <w:t>0</w:t>
            </w:r>
          </w:p>
        </w:tc>
        <w:tc>
          <w:tcPr>
            <w:tcW w:w="3579" w:type="dxa"/>
          </w:tcPr>
          <w:p w14:paraId="5911676C" w14:textId="77777777" w:rsidR="00DB2D38" w:rsidRDefault="00394B9B">
            <w:pPr>
              <w:pStyle w:val="TableParagraph"/>
              <w:spacing w:line="268" w:lineRule="exact"/>
              <w:ind w:right="102"/>
              <w:jc w:val="right"/>
              <w:rPr>
                <w:b/>
              </w:rPr>
            </w:pPr>
            <w:r>
              <w:rPr>
                <w:b/>
              </w:rPr>
              <w:t>0</w:t>
            </w:r>
          </w:p>
        </w:tc>
      </w:tr>
    </w:tbl>
    <w:p w14:paraId="67F108AE" w14:textId="77777777" w:rsidR="00DB2D38" w:rsidRDefault="00394B9B">
      <w:pPr>
        <w:spacing w:before="1" w:line="227" w:lineRule="exact"/>
        <w:ind w:left="751" w:right="751"/>
        <w:jc w:val="center"/>
        <w:rPr>
          <w:rFonts w:ascii="Calibri" w:hAnsi="Calibri"/>
          <w:b/>
          <w:sz w:val="20"/>
        </w:rPr>
      </w:pPr>
      <w:r>
        <w:rPr>
          <w:rFonts w:ascii="Calibri" w:hAnsi="Calibri"/>
          <w:b/>
          <w:sz w:val="20"/>
        </w:rPr>
        <w:t>Table 6 – Number of Households Supported</w:t>
      </w:r>
    </w:p>
    <w:p w14:paraId="24E6E8C2" w14:textId="77777777" w:rsidR="00DB2D38" w:rsidRDefault="00394B9B">
      <w:pPr>
        <w:pStyle w:val="Heading2"/>
        <w:spacing w:line="275" w:lineRule="exact"/>
      </w:pPr>
      <w:r>
        <w:t>Discuss the difference between goals and outcomes and problems encountered in meeting these goals.</w:t>
      </w:r>
    </w:p>
    <w:p w14:paraId="4FDDBB5B" w14:textId="6A0BEE76" w:rsidR="00DB2D38" w:rsidRPr="00807150" w:rsidRDefault="00807150" w:rsidP="00807150">
      <w:pPr>
        <w:pStyle w:val="BodyText"/>
        <w:spacing w:before="201" w:line="204" w:lineRule="auto"/>
        <w:ind w:left="1440" w:right="1599"/>
        <w:rPr>
          <w:sz w:val="25"/>
        </w:rPr>
      </w:pPr>
      <w:r>
        <w:t xml:space="preserve">Substantial Amendments were made to remove Housing Rehabilitation and Public Services as goals and to refocus the allocation of funds towards Public Facilities and Infrastructure. </w:t>
      </w:r>
      <w:r w:rsidR="00394B9B">
        <w:t>There were no activities started or completed in this area.</w:t>
      </w:r>
    </w:p>
    <w:p w14:paraId="08697A96" w14:textId="77777777" w:rsidR="00DB2D38" w:rsidRDefault="00394B9B">
      <w:pPr>
        <w:pStyle w:val="Heading2"/>
        <w:spacing w:before="158"/>
      </w:pPr>
      <w:r>
        <w:t>Discuss how these outcomes will impact future annual action plans.</w:t>
      </w:r>
    </w:p>
    <w:p w14:paraId="66C81688" w14:textId="35AED88A" w:rsidR="00807150" w:rsidRDefault="00394B9B" w:rsidP="00807150">
      <w:pPr>
        <w:pStyle w:val="BodyText"/>
        <w:spacing w:before="201" w:line="204" w:lineRule="auto"/>
        <w:ind w:left="1440" w:right="1599"/>
        <w:rPr>
          <w:sz w:val="25"/>
        </w:rPr>
      </w:pPr>
      <w:r>
        <w:t>The City will rollover the entirety of the PY</w:t>
      </w:r>
      <w:r w:rsidR="002157A9">
        <w:t>202</w:t>
      </w:r>
      <w:r w:rsidR="00307404">
        <w:t>2</w:t>
      </w:r>
      <w:r>
        <w:t xml:space="preserve"> funds, which will impact the amount of funds that is required to be spent in the next two action plans (increased funding).</w:t>
      </w:r>
      <w:r w:rsidR="00807150" w:rsidRPr="00807150">
        <w:t xml:space="preserve"> </w:t>
      </w:r>
      <w:r w:rsidR="00807150">
        <w:t xml:space="preserve">Substantial Amendments were made to remove Housing Rehabilitation and Public Services as goals and to refocus the allocation of funds towards Public Facilities and Infrastructure. </w:t>
      </w:r>
    </w:p>
    <w:p w14:paraId="51908EE1" w14:textId="25154E4D" w:rsidR="00DB2D38" w:rsidRDefault="00DB2D38">
      <w:pPr>
        <w:pStyle w:val="BodyText"/>
        <w:spacing w:before="191" w:line="204" w:lineRule="auto"/>
        <w:ind w:left="1440" w:right="1377"/>
      </w:pPr>
    </w:p>
    <w:p w14:paraId="31C62508" w14:textId="77777777" w:rsidR="00DB2D38" w:rsidRDefault="00DB2D38">
      <w:pPr>
        <w:pStyle w:val="BodyText"/>
        <w:rPr>
          <w:sz w:val="26"/>
        </w:rPr>
      </w:pPr>
    </w:p>
    <w:p w14:paraId="19876ED6" w14:textId="77777777" w:rsidR="00DB2D38" w:rsidRDefault="00DB2D38">
      <w:pPr>
        <w:pStyle w:val="BodyText"/>
        <w:rPr>
          <w:sz w:val="26"/>
        </w:rPr>
      </w:pPr>
    </w:p>
    <w:p w14:paraId="7BB3D3CB" w14:textId="77777777" w:rsidR="00DB2D38" w:rsidRDefault="00DB2D38">
      <w:pPr>
        <w:pStyle w:val="BodyText"/>
        <w:rPr>
          <w:sz w:val="26"/>
        </w:rPr>
      </w:pPr>
    </w:p>
    <w:p w14:paraId="3CD0FA99" w14:textId="77777777" w:rsidR="00DB2D38" w:rsidRDefault="00394B9B">
      <w:pPr>
        <w:pStyle w:val="Heading2"/>
        <w:spacing w:before="172" w:line="204" w:lineRule="auto"/>
        <w:ind w:right="2394"/>
      </w:pPr>
      <w:r>
        <w:t>Include the number of extremely low-income, low-income, and moderate-income persons served by each activity where information on income by family size is required to determine the eligibility of the activity.</w:t>
      </w:r>
    </w:p>
    <w:p w14:paraId="382A9021" w14:textId="77777777" w:rsidR="00DB2D38" w:rsidRDefault="00DB2D38">
      <w:pPr>
        <w:pStyle w:val="BodyText"/>
        <w:spacing w:before="5"/>
        <w:rPr>
          <w:rFonts w:ascii="Calibri"/>
          <w:b/>
          <w:sz w:val="16"/>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1860"/>
        <w:gridCol w:w="1892"/>
      </w:tblGrid>
      <w:tr w:rsidR="00DB2D38" w14:paraId="6C6DB21D" w14:textId="77777777">
        <w:trPr>
          <w:trHeight w:val="268"/>
        </w:trPr>
        <w:tc>
          <w:tcPr>
            <w:tcW w:w="4081" w:type="dxa"/>
          </w:tcPr>
          <w:p w14:paraId="53E825F1" w14:textId="77777777" w:rsidR="00DB2D38" w:rsidRDefault="00394B9B">
            <w:pPr>
              <w:pStyle w:val="TableParagraph"/>
              <w:spacing w:line="248" w:lineRule="exact"/>
              <w:ind w:left="623"/>
              <w:rPr>
                <w:b/>
              </w:rPr>
            </w:pPr>
            <w:r>
              <w:rPr>
                <w:b/>
              </w:rPr>
              <w:t>Number of Households Served</w:t>
            </w:r>
          </w:p>
        </w:tc>
        <w:tc>
          <w:tcPr>
            <w:tcW w:w="1860" w:type="dxa"/>
          </w:tcPr>
          <w:p w14:paraId="0C04743B" w14:textId="77777777" w:rsidR="00DB2D38" w:rsidRDefault="00394B9B">
            <w:pPr>
              <w:pStyle w:val="TableParagraph"/>
              <w:spacing w:line="248" w:lineRule="exact"/>
              <w:ind w:left="354"/>
              <w:rPr>
                <w:b/>
              </w:rPr>
            </w:pPr>
            <w:r>
              <w:rPr>
                <w:b/>
              </w:rPr>
              <w:t>CDBG Actual</w:t>
            </w:r>
          </w:p>
        </w:tc>
        <w:tc>
          <w:tcPr>
            <w:tcW w:w="1892" w:type="dxa"/>
          </w:tcPr>
          <w:p w14:paraId="21EBC192" w14:textId="77777777" w:rsidR="00DB2D38" w:rsidRDefault="00394B9B">
            <w:pPr>
              <w:pStyle w:val="TableParagraph"/>
              <w:spacing w:line="248" w:lineRule="exact"/>
              <w:ind w:left="347"/>
              <w:rPr>
                <w:b/>
              </w:rPr>
            </w:pPr>
            <w:r>
              <w:rPr>
                <w:b/>
              </w:rPr>
              <w:t>HOME Actual</w:t>
            </w:r>
          </w:p>
        </w:tc>
      </w:tr>
      <w:tr w:rsidR="00DB2D38" w14:paraId="2C61E659" w14:textId="77777777">
        <w:trPr>
          <w:trHeight w:val="309"/>
        </w:trPr>
        <w:tc>
          <w:tcPr>
            <w:tcW w:w="4081" w:type="dxa"/>
          </w:tcPr>
          <w:p w14:paraId="4756E597" w14:textId="77777777" w:rsidR="00DB2D38" w:rsidRDefault="00394B9B">
            <w:pPr>
              <w:pStyle w:val="TableParagraph"/>
              <w:spacing w:line="268" w:lineRule="exact"/>
              <w:ind w:left="115"/>
            </w:pPr>
            <w:r>
              <w:t>Extremely Low-income</w:t>
            </w:r>
          </w:p>
        </w:tc>
        <w:tc>
          <w:tcPr>
            <w:tcW w:w="1860" w:type="dxa"/>
          </w:tcPr>
          <w:p w14:paraId="6BB2B0CA" w14:textId="77777777" w:rsidR="00DB2D38" w:rsidRDefault="00394B9B">
            <w:pPr>
              <w:pStyle w:val="TableParagraph"/>
              <w:spacing w:line="268" w:lineRule="exact"/>
              <w:ind w:right="102"/>
              <w:jc w:val="right"/>
            </w:pPr>
            <w:r>
              <w:t>0</w:t>
            </w:r>
          </w:p>
        </w:tc>
        <w:tc>
          <w:tcPr>
            <w:tcW w:w="1892" w:type="dxa"/>
          </w:tcPr>
          <w:p w14:paraId="4135148B" w14:textId="77777777" w:rsidR="00DB2D38" w:rsidRDefault="00394B9B">
            <w:pPr>
              <w:pStyle w:val="TableParagraph"/>
              <w:spacing w:line="268" w:lineRule="exact"/>
              <w:ind w:right="102"/>
              <w:jc w:val="right"/>
            </w:pPr>
            <w:r>
              <w:t>0</w:t>
            </w:r>
          </w:p>
        </w:tc>
      </w:tr>
      <w:tr w:rsidR="00DB2D38" w14:paraId="260525DF" w14:textId="77777777">
        <w:trPr>
          <w:trHeight w:val="309"/>
        </w:trPr>
        <w:tc>
          <w:tcPr>
            <w:tcW w:w="4081" w:type="dxa"/>
          </w:tcPr>
          <w:p w14:paraId="42CEB39B" w14:textId="77777777" w:rsidR="00DB2D38" w:rsidRDefault="00394B9B">
            <w:pPr>
              <w:pStyle w:val="TableParagraph"/>
              <w:spacing w:line="268" w:lineRule="exact"/>
              <w:ind w:left="115"/>
            </w:pPr>
            <w:r>
              <w:t>Low-income</w:t>
            </w:r>
          </w:p>
        </w:tc>
        <w:tc>
          <w:tcPr>
            <w:tcW w:w="1860" w:type="dxa"/>
          </w:tcPr>
          <w:p w14:paraId="0ECD21E5" w14:textId="77777777" w:rsidR="00DB2D38" w:rsidRDefault="00394B9B">
            <w:pPr>
              <w:pStyle w:val="TableParagraph"/>
              <w:spacing w:line="268" w:lineRule="exact"/>
              <w:ind w:right="102"/>
              <w:jc w:val="right"/>
            </w:pPr>
            <w:r>
              <w:t>0</w:t>
            </w:r>
          </w:p>
        </w:tc>
        <w:tc>
          <w:tcPr>
            <w:tcW w:w="1892" w:type="dxa"/>
          </w:tcPr>
          <w:p w14:paraId="6E9A06D6" w14:textId="77777777" w:rsidR="00DB2D38" w:rsidRDefault="00394B9B">
            <w:pPr>
              <w:pStyle w:val="TableParagraph"/>
              <w:spacing w:line="268" w:lineRule="exact"/>
              <w:ind w:right="102"/>
              <w:jc w:val="right"/>
            </w:pPr>
            <w:r>
              <w:t>0</w:t>
            </w:r>
          </w:p>
        </w:tc>
      </w:tr>
      <w:tr w:rsidR="00DB2D38" w14:paraId="6F3F6D0F" w14:textId="77777777">
        <w:trPr>
          <w:trHeight w:val="309"/>
        </w:trPr>
        <w:tc>
          <w:tcPr>
            <w:tcW w:w="4081" w:type="dxa"/>
          </w:tcPr>
          <w:p w14:paraId="2E8AA5AB" w14:textId="77777777" w:rsidR="00DB2D38" w:rsidRDefault="00394B9B">
            <w:pPr>
              <w:pStyle w:val="TableParagraph"/>
              <w:spacing w:line="268" w:lineRule="exact"/>
              <w:ind w:left="115"/>
            </w:pPr>
            <w:r>
              <w:t>Moderate-income</w:t>
            </w:r>
          </w:p>
        </w:tc>
        <w:tc>
          <w:tcPr>
            <w:tcW w:w="1860" w:type="dxa"/>
          </w:tcPr>
          <w:p w14:paraId="180259CE" w14:textId="77777777" w:rsidR="00DB2D38" w:rsidRDefault="00394B9B">
            <w:pPr>
              <w:pStyle w:val="TableParagraph"/>
              <w:spacing w:line="268" w:lineRule="exact"/>
              <w:ind w:right="102"/>
              <w:jc w:val="right"/>
            </w:pPr>
            <w:r>
              <w:t>0</w:t>
            </w:r>
          </w:p>
        </w:tc>
        <w:tc>
          <w:tcPr>
            <w:tcW w:w="1892" w:type="dxa"/>
          </w:tcPr>
          <w:p w14:paraId="2D3BEEA8" w14:textId="77777777" w:rsidR="00DB2D38" w:rsidRDefault="00394B9B">
            <w:pPr>
              <w:pStyle w:val="TableParagraph"/>
              <w:spacing w:line="268" w:lineRule="exact"/>
              <w:ind w:right="102"/>
              <w:jc w:val="right"/>
            </w:pPr>
            <w:r>
              <w:t>0</w:t>
            </w:r>
          </w:p>
        </w:tc>
      </w:tr>
      <w:tr w:rsidR="00DB2D38" w14:paraId="697EC0A8" w14:textId="77777777">
        <w:trPr>
          <w:trHeight w:val="309"/>
        </w:trPr>
        <w:tc>
          <w:tcPr>
            <w:tcW w:w="4081" w:type="dxa"/>
          </w:tcPr>
          <w:p w14:paraId="6F47C3F8" w14:textId="77777777" w:rsidR="00DB2D38" w:rsidRDefault="00394B9B">
            <w:pPr>
              <w:pStyle w:val="TableParagraph"/>
              <w:spacing w:line="268" w:lineRule="exact"/>
              <w:ind w:left="115"/>
              <w:rPr>
                <w:b/>
              </w:rPr>
            </w:pPr>
            <w:r>
              <w:rPr>
                <w:b/>
              </w:rPr>
              <w:t>Total</w:t>
            </w:r>
          </w:p>
        </w:tc>
        <w:tc>
          <w:tcPr>
            <w:tcW w:w="1860" w:type="dxa"/>
          </w:tcPr>
          <w:p w14:paraId="2F35F41C" w14:textId="77777777" w:rsidR="00DB2D38" w:rsidRDefault="00394B9B">
            <w:pPr>
              <w:pStyle w:val="TableParagraph"/>
              <w:spacing w:line="268" w:lineRule="exact"/>
              <w:ind w:right="102"/>
              <w:jc w:val="right"/>
              <w:rPr>
                <w:b/>
              </w:rPr>
            </w:pPr>
            <w:r>
              <w:rPr>
                <w:b/>
              </w:rPr>
              <w:t>0</w:t>
            </w:r>
          </w:p>
        </w:tc>
        <w:tc>
          <w:tcPr>
            <w:tcW w:w="1892" w:type="dxa"/>
          </w:tcPr>
          <w:p w14:paraId="43E2A91E" w14:textId="77777777" w:rsidR="00DB2D38" w:rsidRDefault="00394B9B">
            <w:pPr>
              <w:pStyle w:val="TableParagraph"/>
              <w:spacing w:line="268" w:lineRule="exact"/>
              <w:ind w:right="102"/>
              <w:jc w:val="right"/>
              <w:rPr>
                <w:b/>
              </w:rPr>
            </w:pPr>
            <w:r>
              <w:rPr>
                <w:b/>
              </w:rPr>
              <w:t>0</w:t>
            </w:r>
          </w:p>
        </w:tc>
      </w:tr>
    </w:tbl>
    <w:p w14:paraId="3EB1E84A" w14:textId="77777777" w:rsidR="00DB2D38" w:rsidRDefault="00394B9B">
      <w:pPr>
        <w:ind w:left="750" w:right="751"/>
        <w:jc w:val="center"/>
        <w:rPr>
          <w:rFonts w:ascii="Calibri" w:hAnsi="Calibri"/>
          <w:b/>
          <w:sz w:val="20"/>
        </w:rPr>
      </w:pPr>
      <w:r>
        <w:rPr>
          <w:rFonts w:ascii="Calibri" w:hAnsi="Calibri"/>
          <w:b/>
          <w:sz w:val="20"/>
        </w:rPr>
        <w:t>Table 7 – Number of Households Served</w:t>
      </w:r>
    </w:p>
    <w:p w14:paraId="4A293101" w14:textId="77777777" w:rsidR="00DB2D38" w:rsidRDefault="00DB2D38">
      <w:pPr>
        <w:pStyle w:val="BodyText"/>
        <w:rPr>
          <w:rFonts w:ascii="Calibri"/>
          <w:b/>
          <w:sz w:val="20"/>
        </w:rPr>
      </w:pPr>
    </w:p>
    <w:p w14:paraId="2949D033" w14:textId="77777777" w:rsidR="00DB2D38" w:rsidRDefault="00DB2D38">
      <w:pPr>
        <w:pStyle w:val="BodyText"/>
        <w:rPr>
          <w:rFonts w:ascii="Calibri"/>
          <w:b/>
          <w:sz w:val="20"/>
        </w:rPr>
      </w:pPr>
    </w:p>
    <w:p w14:paraId="0FC51065" w14:textId="77777777" w:rsidR="00DB2D38" w:rsidRDefault="00DB2D38">
      <w:pPr>
        <w:pStyle w:val="BodyText"/>
        <w:rPr>
          <w:rFonts w:ascii="Calibri"/>
          <w:b/>
          <w:sz w:val="20"/>
        </w:rPr>
      </w:pPr>
    </w:p>
    <w:p w14:paraId="16129A55" w14:textId="77777777" w:rsidR="00DB2D38" w:rsidRDefault="00394B9B">
      <w:pPr>
        <w:pStyle w:val="Heading2"/>
        <w:spacing w:before="132"/>
      </w:pPr>
      <w:r>
        <w:t>Narrative Information</w:t>
      </w:r>
    </w:p>
    <w:p w14:paraId="30C668E9" w14:textId="0D579B6F" w:rsidR="00DB2D38" w:rsidRDefault="00394B9B" w:rsidP="00987A4D">
      <w:pPr>
        <w:pStyle w:val="BodyText"/>
        <w:spacing w:before="188" w:line="204" w:lineRule="auto"/>
        <w:ind w:left="1440" w:right="1435"/>
        <w:jc w:val="both"/>
        <w:sectPr w:rsidR="00DB2D38">
          <w:pgSz w:w="15840" w:h="12240" w:orient="landscape"/>
          <w:pgMar w:top="1140" w:right="0" w:bottom="1280" w:left="0" w:header="0" w:footer="1009" w:gutter="0"/>
          <w:cols w:space="720"/>
        </w:sectPr>
      </w:pPr>
      <w:r>
        <w:t>The City will collaborate with nonprofit organizations utilizing program funds to address affordable housing issues in Twin Falls. Due to the delay in submitting and approving the Consolidated Plan and Annual Action Plan, there were no activities started or completed in this area.</w:t>
      </w:r>
    </w:p>
    <w:p w14:paraId="46B39267" w14:textId="77777777" w:rsidR="00DB2D38" w:rsidRDefault="00DB2D38">
      <w:pPr>
        <w:pStyle w:val="BodyText"/>
        <w:rPr>
          <w:sz w:val="20"/>
        </w:rPr>
      </w:pPr>
    </w:p>
    <w:p w14:paraId="72045880" w14:textId="77777777" w:rsidR="00DB2D38" w:rsidRDefault="00DB2D38">
      <w:pPr>
        <w:pStyle w:val="BodyText"/>
        <w:spacing w:before="1"/>
        <w:rPr>
          <w:sz w:val="18"/>
        </w:rPr>
      </w:pPr>
    </w:p>
    <w:p w14:paraId="2BC41399" w14:textId="77777777" w:rsidR="00DB2D38" w:rsidRDefault="00394B9B">
      <w:pPr>
        <w:pStyle w:val="Heading1"/>
      </w:pPr>
      <w:r>
        <w:t>CR-25 - Homeless and Other Special Needs 91.220(d, e); 91.320(d, e); 91.520(c)</w:t>
      </w:r>
    </w:p>
    <w:p w14:paraId="1C309A0B" w14:textId="77777777" w:rsidR="00DB2D38" w:rsidRDefault="00394B9B">
      <w:pPr>
        <w:pStyle w:val="Heading2"/>
        <w:spacing w:before="109"/>
      </w:pPr>
      <w:r>
        <w:t>Evaluate the jurisdiction’s progress in meeting its specific objectives for reducing and ending homelessness through:</w:t>
      </w:r>
    </w:p>
    <w:p w14:paraId="0F925A16" w14:textId="77777777" w:rsidR="00DB2D38" w:rsidRDefault="00DB2D38">
      <w:pPr>
        <w:pStyle w:val="BodyText"/>
        <w:spacing w:before="11"/>
        <w:rPr>
          <w:rFonts w:ascii="Calibri"/>
          <w:b/>
          <w:sz w:val="19"/>
        </w:rPr>
      </w:pPr>
    </w:p>
    <w:p w14:paraId="7C96B968" w14:textId="77777777" w:rsidR="00DB2D38" w:rsidRDefault="00394B9B">
      <w:pPr>
        <w:ind w:left="1440"/>
        <w:rPr>
          <w:rFonts w:ascii="Calibri"/>
          <w:b/>
          <w:sz w:val="24"/>
        </w:rPr>
      </w:pPr>
      <w:r>
        <w:rPr>
          <w:rFonts w:ascii="Calibri"/>
          <w:b/>
          <w:sz w:val="24"/>
        </w:rPr>
        <w:t>Reaching out to homeless persons (especially unsheltered persons) and assessing their individual needs</w:t>
      </w:r>
    </w:p>
    <w:p w14:paraId="3D53CC8F" w14:textId="77777777" w:rsidR="00DB2D38" w:rsidRDefault="00DB2D38">
      <w:pPr>
        <w:pStyle w:val="BodyText"/>
        <w:spacing w:before="1"/>
        <w:rPr>
          <w:rFonts w:ascii="Calibri"/>
          <w:b/>
          <w:sz w:val="20"/>
        </w:rPr>
      </w:pPr>
    </w:p>
    <w:p w14:paraId="481FEBD6" w14:textId="75964546" w:rsidR="007B53D4" w:rsidRDefault="00394B9B" w:rsidP="007B53D4">
      <w:pPr>
        <w:pStyle w:val="BodyText"/>
        <w:ind w:left="1440" w:right="1440"/>
        <w:jc w:val="both"/>
      </w:pPr>
      <w:r w:rsidRPr="00CB102A">
        <w:t xml:space="preserve">The </w:t>
      </w:r>
      <w:proofErr w:type="gramStart"/>
      <w:r w:rsidRPr="00CB102A">
        <w:t>City</w:t>
      </w:r>
      <w:proofErr w:type="gramEnd"/>
      <w:r w:rsidRPr="00CB102A">
        <w:t xml:space="preserve"> participates in a monthly Homeless Coalition meeting, where non-profit organizations</w:t>
      </w:r>
      <w:r w:rsidR="007B53D4" w:rsidRPr="00CB102A">
        <w:t>,</w:t>
      </w:r>
      <w:r w:rsidRPr="00CB102A">
        <w:t xml:space="preserve"> </w:t>
      </w:r>
      <w:proofErr w:type="gramStart"/>
      <w:r w:rsidRPr="00CB102A">
        <w:t>shelter</w:t>
      </w:r>
      <w:proofErr w:type="gramEnd"/>
      <w:r w:rsidR="007B53D4" w:rsidRPr="00CB102A">
        <w:t>,</w:t>
      </w:r>
      <w:r w:rsidRPr="00CB102A">
        <w:t xml:space="preserve"> and housing agencies that</w:t>
      </w:r>
      <w:r w:rsidR="007B53D4" w:rsidRPr="00CB102A">
        <w:t xml:space="preserve"> have a vested interest in </w:t>
      </w:r>
      <w:r w:rsidRPr="00CB102A">
        <w:t xml:space="preserve">homelessness gather to discuss current needs and existing efforts. In future years, the </w:t>
      </w:r>
      <w:proofErr w:type="gramStart"/>
      <w:r w:rsidRPr="00CB102A">
        <w:t>City</w:t>
      </w:r>
      <w:proofErr w:type="gramEnd"/>
      <w:r w:rsidRPr="00CB102A">
        <w:t xml:space="preserve"> </w:t>
      </w:r>
      <w:r w:rsidR="007B53D4" w:rsidRPr="00CB102A">
        <w:t xml:space="preserve">plans to coordinate efforts and CDBG funding through this organization </w:t>
      </w:r>
      <w:r w:rsidRPr="00CB102A">
        <w:t xml:space="preserve">to </w:t>
      </w:r>
      <w:r w:rsidR="007B53D4" w:rsidRPr="00CB102A">
        <w:t>help work towards addressing</w:t>
      </w:r>
      <w:r w:rsidRPr="00CB102A">
        <w:t xml:space="preserve"> homelessness </w:t>
      </w:r>
      <w:r w:rsidR="007B53D4" w:rsidRPr="00CB102A">
        <w:t>in our area</w:t>
      </w:r>
      <w:r w:rsidRPr="00CB102A">
        <w:t>.</w:t>
      </w:r>
      <w:r w:rsidR="00807150" w:rsidRPr="00CB102A">
        <w:t xml:space="preserve"> The City has </w:t>
      </w:r>
      <w:r w:rsidR="007B53D4" w:rsidRPr="00CB102A">
        <w:t xml:space="preserve">helped the Homeless Coalition (particularly representatives with the Valley House) navigate the various levels of local land use policies by providing consultation and advice on the </w:t>
      </w:r>
      <w:r w:rsidR="00807150" w:rsidRPr="00CB102A">
        <w:t>creati</w:t>
      </w:r>
      <w:r w:rsidR="007B53D4" w:rsidRPr="00CB102A">
        <w:t>o</w:t>
      </w:r>
      <w:r w:rsidR="00807150" w:rsidRPr="00CB102A">
        <w:t>n of a warming center for</w:t>
      </w:r>
      <w:r w:rsidR="007B53D4" w:rsidRPr="00CB102A">
        <w:t xml:space="preserve"> homeless individuals. The warming center operates from November – February on</w:t>
      </w:r>
      <w:r w:rsidR="00807150" w:rsidRPr="00CB102A">
        <w:t xml:space="preserve"> nights </w:t>
      </w:r>
      <w:r w:rsidR="007B53D4" w:rsidRPr="00CB102A">
        <w:t xml:space="preserve">when the forecasted </w:t>
      </w:r>
      <w:r w:rsidR="00807150" w:rsidRPr="00CB102A">
        <w:t xml:space="preserve">temperature drops below </w:t>
      </w:r>
      <w:r w:rsidR="007B53D4" w:rsidRPr="00CB102A">
        <w:t xml:space="preserve">29 degrees Fahrenheit. </w:t>
      </w:r>
    </w:p>
    <w:p w14:paraId="4345A870" w14:textId="77777777" w:rsidR="00DB2D38" w:rsidRDefault="00DB2D38">
      <w:pPr>
        <w:pStyle w:val="BodyText"/>
      </w:pPr>
    </w:p>
    <w:p w14:paraId="625BA6C7" w14:textId="77777777" w:rsidR="00DB2D38" w:rsidRDefault="00394B9B">
      <w:pPr>
        <w:pStyle w:val="Heading2"/>
      </w:pPr>
      <w:r>
        <w:t>Addressing the emergency shelter and transitional housing needs of homeless persons</w:t>
      </w:r>
    </w:p>
    <w:p w14:paraId="711A152E" w14:textId="77777777" w:rsidR="00DB2D38" w:rsidRDefault="00DB2D38">
      <w:pPr>
        <w:pStyle w:val="BodyText"/>
        <w:spacing w:before="1"/>
        <w:rPr>
          <w:rFonts w:ascii="Calibri"/>
          <w:b/>
          <w:sz w:val="20"/>
        </w:rPr>
      </w:pPr>
    </w:p>
    <w:p w14:paraId="10AB6D57" w14:textId="20EC977A" w:rsidR="00DB2D38" w:rsidRDefault="00394B9B">
      <w:pPr>
        <w:pStyle w:val="BodyText"/>
        <w:spacing w:line="276" w:lineRule="auto"/>
        <w:ind w:left="1440" w:right="1434"/>
        <w:jc w:val="both"/>
      </w:pPr>
      <w:r>
        <w:t>The</w:t>
      </w:r>
      <w:r>
        <w:rPr>
          <w:spacing w:val="-4"/>
        </w:rPr>
        <w:t xml:space="preserve"> </w:t>
      </w:r>
      <w:r>
        <w:t>City</w:t>
      </w:r>
      <w:r>
        <w:rPr>
          <w:spacing w:val="-3"/>
        </w:rPr>
        <w:t xml:space="preserve"> </w:t>
      </w:r>
      <w:r>
        <w:t>attended</w:t>
      </w:r>
      <w:r>
        <w:rPr>
          <w:spacing w:val="-4"/>
        </w:rPr>
        <w:t xml:space="preserve"> </w:t>
      </w:r>
      <w:r>
        <w:t>and</w:t>
      </w:r>
      <w:r>
        <w:rPr>
          <w:spacing w:val="-4"/>
        </w:rPr>
        <w:t xml:space="preserve"> </w:t>
      </w:r>
      <w:r>
        <w:t>participated</w:t>
      </w:r>
      <w:r>
        <w:rPr>
          <w:spacing w:val="-3"/>
        </w:rPr>
        <w:t xml:space="preserve"> </w:t>
      </w:r>
      <w:r>
        <w:t>in</w:t>
      </w:r>
      <w:r>
        <w:rPr>
          <w:spacing w:val="-4"/>
        </w:rPr>
        <w:t xml:space="preserve"> </w:t>
      </w:r>
      <w:r w:rsidRPr="00093921">
        <w:t>(</w:t>
      </w:r>
      <w:r w:rsidR="00093921" w:rsidRPr="00093921">
        <w:t>6</w:t>
      </w:r>
      <w:r w:rsidRPr="00093921">
        <w:t>)</w:t>
      </w:r>
      <w:r w:rsidRPr="00093921">
        <w:rPr>
          <w:spacing w:val="-4"/>
        </w:rPr>
        <w:t xml:space="preserve"> </w:t>
      </w:r>
      <w:r w:rsidRPr="00093921">
        <w:t>local</w:t>
      </w:r>
      <w:r>
        <w:rPr>
          <w:spacing w:val="-4"/>
        </w:rPr>
        <w:t xml:space="preserve"> </w:t>
      </w:r>
      <w:r>
        <w:t>monthly</w:t>
      </w:r>
      <w:r>
        <w:rPr>
          <w:spacing w:val="-5"/>
        </w:rPr>
        <w:t xml:space="preserve"> </w:t>
      </w:r>
      <w:r>
        <w:t>Homelessness</w:t>
      </w:r>
      <w:r>
        <w:rPr>
          <w:spacing w:val="-3"/>
        </w:rPr>
        <w:t xml:space="preserve"> </w:t>
      </w:r>
      <w:r>
        <w:t>Coalition</w:t>
      </w:r>
      <w:r w:rsidR="007B53D4">
        <w:t>,</w:t>
      </w:r>
      <w:r>
        <w:rPr>
          <w:spacing w:val="-3"/>
        </w:rPr>
        <w:t xml:space="preserve"> </w:t>
      </w:r>
      <w:r w:rsidR="00093921">
        <w:rPr>
          <w:spacing w:val="-3"/>
        </w:rPr>
        <w:t xml:space="preserve">and subcommittee </w:t>
      </w:r>
      <w:r>
        <w:t>meetings</w:t>
      </w:r>
      <w:r>
        <w:rPr>
          <w:spacing w:val="-3"/>
        </w:rPr>
        <w:t xml:space="preserve"> </w:t>
      </w:r>
      <w:r>
        <w:t>to</w:t>
      </w:r>
      <w:r>
        <w:rPr>
          <w:spacing w:val="-5"/>
        </w:rPr>
        <w:t xml:space="preserve"> </w:t>
      </w:r>
      <w:r>
        <w:t>better</w:t>
      </w:r>
      <w:r>
        <w:rPr>
          <w:spacing w:val="-4"/>
        </w:rPr>
        <w:t xml:space="preserve"> </w:t>
      </w:r>
      <w:r>
        <w:t>understand</w:t>
      </w:r>
      <w:r>
        <w:rPr>
          <w:spacing w:val="-4"/>
        </w:rPr>
        <w:t xml:space="preserve"> </w:t>
      </w:r>
      <w:r>
        <w:t>and</w:t>
      </w:r>
      <w:r>
        <w:rPr>
          <w:spacing w:val="-5"/>
        </w:rPr>
        <w:t xml:space="preserve"> </w:t>
      </w:r>
      <w:r>
        <w:t>support the efforts of the various agencies and organizations addressing emergency shelter and transitional housing needs of homeless</w:t>
      </w:r>
      <w:r>
        <w:rPr>
          <w:spacing w:val="-3"/>
        </w:rPr>
        <w:t xml:space="preserve"> </w:t>
      </w:r>
      <w:r>
        <w:t>persons.</w:t>
      </w:r>
    </w:p>
    <w:p w14:paraId="1B8E5E2D" w14:textId="77777777" w:rsidR="00DB2D38" w:rsidRDefault="00394B9B">
      <w:pPr>
        <w:pStyle w:val="Heading2"/>
        <w:spacing w:before="200" w:line="276" w:lineRule="auto"/>
        <w:ind w:right="1377"/>
      </w:pPr>
      <w: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14:paraId="3FBFA755" w14:textId="0AFAA750" w:rsidR="00DB2D38" w:rsidRDefault="00394B9B">
      <w:pPr>
        <w:pStyle w:val="BodyText"/>
        <w:spacing w:before="200" w:line="276" w:lineRule="auto"/>
        <w:ind w:left="1440" w:right="1438"/>
        <w:jc w:val="both"/>
      </w:pPr>
      <w:r>
        <w:t>The City provide</w:t>
      </w:r>
      <w:r w:rsidR="007B53D4">
        <w:t>s</w:t>
      </w:r>
      <w:r>
        <w:t xml:space="preserve"> a support</w:t>
      </w:r>
      <w:r w:rsidR="007B53D4">
        <w:t>ing</w:t>
      </w:r>
      <w:r>
        <w:t xml:space="preserve"> role in the coordination efforts to prevent discharge immediately resulting in homelessness by participating in </w:t>
      </w:r>
      <w:r w:rsidRPr="00093921">
        <w:t>(</w:t>
      </w:r>
      <w:r w:rsidR="00093921" w:rsidRPr="00093921">
        <w:t>6</w:t>
      </w:r>
      <w:r w:rsidRPr="00093921">
        <w:t>)</w:t>
      </w:r>
      <w:r>
        <w:t xml:space="preserve"> monthly meetings of the Region 4 Homeless Coalition</w:t>
      </w:r>
      <w:r>
        <w:rPr>
          <w:b/>
        </w:rPr>
        <w:t xml:space="preserve">, </w:t>
      </w:r>
      <w:r>
        <w:t xml:space="preserve">the City </w:t>
      </w:r>
      <w:proofErr w:type="gramStart"/>
      <w:r>
        <w:t>is able to</w:t>
      </w:r>
      <w:proofErr w:type="gramEnd"/>
      <w:r>
        <w:t xml:space="preserve"> partner, collaborate and refer to community agencies and organizations where homelessness and issues surrounding homelessness is a concern.</w:t>
      </w:r>
    </w:p>
    <w:p w14:paraId="3683508E" w14:textId="77777777" w:rsidR="00DB2D38" w:rsidRDefault="00394B9B">
      <w:pPr>
        <w:pStyle w:val="Heading2"/>
        <w:spacing w:before="200" w:line="276" w:lineRule="auto"/>
        <w:ind w:right="1377"/>
      </w:pPr>
      <w: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66B627E8" w14:textId="77777777" w:rsidR="00DB2D38" w:rsidRDefault="00DB2D38">
      <w:pPr>
        <w:spacing w:line="276" w:lineRule="auto"/>
        <w:sectPr w:rsidR="00DB2D38">
          <w:pgSz w:w="15840" w:h="12240" w:orient="landscape"/>
          <w:pgMar w:top="1140" w:right="0" w:bottom="1280" w:left="0" w:header="0" w:footer="1009" w:gutter="0"/>
          <w:cols w:space="720"/>
        </w:sectPr>
      </w:pPr>
    </w:p>
    <w:p w14:paraId="7525E4B1" w14:textId="77777777" w:rsidR="00DB2D38" w:rsidRDefault="00DB2D38">
      <w:pPr>
        <w:pStyle w:val="BodyText"/>
        <w:spacing w:before="1"/>
        <w:rPr>
          <w:rFonts w:ascii="Calibri"/>
          <w:b/>
          <w:sz w:val="17"/>
        </w:rPr>
      </w:pPr>
    </w:p>
    <w:p w14:paraId="1B506B91" w14:textId="687D19FA" w:rsidR="00DB2D38" w:rsidRDefault="00394B9B" w:rsidP="00987A4D">
      <w:pPr>
        <w:pStyle w:val="BodyText"/>
        <w:spacing w:before="92" w:line="276" w:lineRule="auto"/>
        <w:ind w:left="1440" w:right="1452"/>
      </w:pPr>
      <w:r>
        <w:t xml:space="preserve">Through coordinating and collaborating with local agencies and organizations, who have the staff resources, and experience to address chronically homeless clients and their circumstances, the </w:t>
      </w:r>
      <w:proofErr w:type="gramStart"/>
      <w:r>
        <w:t>City</w:t>
      </w:r>
      <w:proofErr w:type="gramEnd"/>
      <w:r>
        <w:t xml:space="preserve"> has gained a better understanding of the need for veterans and their families.</w:t>
      </w:r>
    </w:p>
    <w:p w14:paraId="225A6F1B" w14:textId="1D4796D9" w:rsidR="00807150" w:rsidRDefault="00807150" w:rsidP="00987A4D">
      <w:pPr>
        <w:pStyle w:val="BodyText"/>
        <w:spacing w:before="92" w:line="276" w:lineRule="auto"/>
        <w:ind w:left="1440" w:right="1452"/>
        <w:rPr>
          <w:sz w:val="22"/>
        </w:rPr>
      </w:pPr>
      <w:r>
        <w:t>During PY202</w:t>
      </w:r>
      <w:r w:rsidR="00AD5EC0">
        <w:t>2</w:t>
      </w:r>
      <w:r>
        <w:t xml:space="preserve"> the City advocated for and participated in a poverty simulation for local and groups </w:t>
      </w:r>
      <w:proofErr w:type="gramStart"/>
      <w:r>
        <w:t>in an effort to</w:t>
      </w:r>
      <w:proofErr w:type="gramEnd"/>
      <w:r>
        <w:t xml:space="preserve"> bring attention to the issues that homeless persons often experience in their homelessness. This simulation had over 50 participants. </w:t>
      </w:r>
    </w:p>
    <w:p w14:paraId="773B6593" w14:textId="77777777" w:rsidR="00DB2D38" w:rsidRDefault="00394B9B">
      <w:pPr>
        <w:pStyle w:val="Heading1"/>
      </w:pPr>
      <w:r>
        <w:t>CR-30 - Public Housing 91.220(h); 91.320(j)</w:t>
      </w:r>
    </w:p>
    <w:p w14:paraId="3CB4B8AE" w14:textId="77777777" w:rsidR="00DB2D38" w:rsidRDefault="00394B9B">
      <w:pPr>
        <w:pStyle w:val="Heading2"/>
        <w:spacing w:before="111"/>
      </w:pPr>
      <w:r>
        <w:t xml:space="preserve">Actions taken to address the needs of public </w:t>
      </w:r>
      <w:proofErr w:type="gramStart"/>
      <w:r>
        <w:t>housing</w:t>
      </w:r>
      <w:proofErr w:type="gramEnd"/>
    </w:p>
    <w:p w14:paraId="7C1DC3D9" w14:textId="77777777" w:rsidR="00DB2D38" w:rsidRDefault="00DB2D38">
      <w:pPr>
        <w:pStyle w:val="BodyText"/>
        <w:spacing w:before="12"/>
        <w:rPr>
          <w:rFonts w:ascii="Calibri"/>
          <w:b/>
          <w:sz w:val="19"/>
        </w:rPr>
      </w:pPr>
    </w:p>
    <w:p w14:paraId="1CEF5777" w14:textId="77777777" w:rsidR="00DB2D38" w:rsidRDefault="00394B9B">
      <w:pPr>
        <w:pStyle w:val="BodyText"/>
        <w:spacing w:line="278" w:lineRule="auto"/>
        <w:ind w:left="1440" w:right="1377"/>
      </w:pPr>
      <w:r>
        <w:t>The</w:t>
      </w:r>
      <w:r>
        <w:rPr>
          <w:spacing w:val="-17"/>
        </w:rPr>
        <w:t xml:space="preserve"> </w:t>
      </w:r>
      <w:proofErr w:type="gramStart"/>
      <w:r>
        <w:t>City</w:t>
      </w:r>
      <w:proofErr w:type="gramEnd"/>
      <w:r>
        <w:rPr>
          <w:spacing w:val="-17"/>
        </w:rPr>
        <w:t xml:space="preserve"> </w:t>
      </w:r>
      <w:r>
        <w:t>completed</w:t>
      </w:r>
      <w:r>
        <w:rPr>
          <w:spacing w:val="-18"/>
        </w:rPr>
        <w:t xml:space="preserve"> </w:t>
      </w:r>
      <w:r>
        <w:t>their</w:t>
      </w:r>
      <w:r>
        <w:rPr>
          <w:spacing w:val="-18"/>
        </w:rPr>
        <w:t xml:space="preserve"> </w:t>
      </w:r>
      <w:r>
        <w:t>2020</w:t>
      </w:r>
      <w:r>
        <w:rPr>
          <w:spacing w:val="-16"/>
        </w:rPr>
        <w:t xml:space="preserve"> </w:t>
      </w:r>
      <w:r>
        <w:t>Analysis</w:t>
      </w:r>
      <w:r>
        <w:rPr>
          <w:spacing w:val="-19"/>
        </w:rPr>
        <w:t xml:space="preserve"> </w:t>
      </w:r>
      <w:r>
        <w:t>of</w:t>
      </w:r>
      <w:r>
        <w:rPr>
          <w:spacing w:val="-18"/>
        </w:rPr>
        <w:t xml:space="preserve"> </w:t>
      </w:r>
      <w:r>
        <w:t>Impediments</w:t>
      </w:r>
      <w:r>
        <w:rPr>
          <w:spacing w:val="-18"/>
        </w:rPr>
        <w:t xml:space="preserve"> </w:t>
      </w:r>
      <w:r>
        <w:t>to</w:t>
      </w:r>
      <w:r>
        <w:rPr>
          <w:spacing w:val="-17"/>
        </w:rPr>
        <w:t xml:space="preserve"> </w:t>
      </w:r>
      <w:r>
        <w:t>Fair</w:t>
      </w:r>
      <w:r>
        <w:rPr>
          <w:spacing w:val="-18"/>
        </w:rPr>
        <w:t xml:space="preserve"> </w:t>
      </w:r>
      <w:r>
        <w:t>Housing</w:t>
      </w:r>
      <w:r>
        <w:rPr>
          <w:spacing w:val="-16"/>
        </w:rPr>
        <w:t xml:space="preserve"> </w:t>
      </w:r>
      <w:r>
        <w:t>Choice</w:t>
      </w:r>
      <w:r>
        <w:rPr>
          <w:spacing w:val="-18"/>
        </w:rPr>
        <w:t xml:space="preserve"> </w:t>
      </w:r>
      <w:r>
        <w:t>with</w:t>
      </w:r>
      <w:r>
        <w:rPr>
          <w:spacing w:val="-15"/>
        </w:rPr>
        <w:t xml:space="preserve"> </w:t>
      </w:r>
      <w:r>
        <w:t>input</w:t>
      </w:r>
      <w:r>
        <w:rPr>
          <w:spacing w:val="-18"/>
        </w:rPr>
        <w:t xml:space="preserve"> </w:t>
      </w:r>
      <w:r>
        <w:t>provided</w:t>
      </w:r>
      <w:r>
        <w:rPr>
          <w:spacing w:val="-18"/>
        </w:rPr>
        <w:t xml:space="preserve"> </w:t>
      </w:r>
      <w:r>
        <w:t>from</w:t>
      </w:r>
      <w:r>
        <w:rPr>
          <w:spacing w:val="-17"/>
        </w:rPr>
        <w:t xml:space="preserve"> </w:t>
      </w:r>
      <w:r>
        <w:t>nonprofit</w:t>
      </w:r>
      <w:r>
        <w:rPr>
          <w:spacing w:val="-18"/>
        </w:rPr>
        <w:t xml:space="preserve"> </w:t>
      </w:r>
      <w:r>
        <w:t xml:space="preserve">community service providers. The majority of input was provided by members of </w:t>
      </w:r>
      <w:proofErr w:type="gramStart"/>
      <w:r>
        <w:t>Region</w:t>
      </w:r>
      <w:proofErr w:type="gramEnd"/>
      <w:r>
        <w:t xml:space="preserve"> 4 Homeless</w:t>
      </w:r>
      <w:r>
        <w:rPr>
          <w:spacing w:val="-14"/>
        </w:rPr>
        <w:t xml:space="preserve"> </w:t>
      </w:r>
      <w:r>
        <w:t>Coalition.</w:t>
      </w:r>
    </w:p>
    <w:p w14:paraId="24FB3EFB" w14:textId="77777777" w:rsidR="00DB2D38" w:rsidRPr="00CB102A" w:rsidRDefault="00394B9B">
      <w:pPr>
        <w:pStyle w:val="BodyText"/>
        <w:spacing w:before="195" w:line="278" w:lineRule="auto"/>
        <w:ind w:left="1440" w:right="1425"/>
      </w:pPr>
      <w:r w:rsidRPr="00CB102A">
        <w:t>The City of Twin Falls recognizes the need for affordable housing and the role that Region 4 Coalition provides at the local level.</w:t>
      </w:r>
    </w:p>
    <w:p w14:paraId="270193DC" w14:textId="77777777" w:rsidR="003D082F" w:rsidRPr="00CB102A" w:rsidRDefault="00394B9B">
      <w:pPr>
        <w:pStyle w:val="BodyText"/>
        <w:spacing w:before="195" w:line="276" w:lineRule="auto"/>
        <w:ind w:left="1440" w:right="1431"/>
        <w:jc w:val="both"/>
      </w:pPr>
      <w:r w:rsidRPr="00CB102A">
        <w:t>The</w:t>
      </w:r>
      <w:r w:rsidRPr="00CB102A">
        <w:rPr>
          <w:spacing w:val="-8"/>
        </w:rPr>
        <w:t xml:space="preserve"> </w:t>
      </w:r>
      <w:r w:rsidRPr="00CB102A">
        <w:t>City</w:t>
      </w:r>
      <w:r w:rsidRPr="00CB102A">
        <w:rPr>
          <w:spacing w:val="-10"/>
        </w:rPr>
        <w:t xml:space="preserve"> </w:t>
      </w:r>
      <w:r w:rsidRPr="00CB102A">
        <w:t>of</w:t>
      </w:r>
      <w:r w:rsidRPr="00CB102A">
        <w:rPr>
          <w:spacing w:val="-8"/>
        </w:rPr>
        <w:t xml:space="preserve"> </w:t>
      </w:r>
      <w:r w:rsidRPr="00CB102A">
        <w:t>Twin</w:t>
      </w:r>
      <w:r w:rsidRPr="00CB102A">
        <w:rPr>
          <w:spacing w:val="-8"/>
        </w:rPr>
        <w:t xml:space="preserve"> </w:t>
      </w:r>
      <w:r w:rsidRPr="00CB102A">
        <w:t>Falls</w:t>
      </w:r>
      <w:r w:rsidRPr="00CB102A">
        <w:rPr>
          <w:spacing w:val="-12"/>
        </w:rPr>
        <w:t xml:space="preserve"> </w:t>
      </w:r>
      <w:r w:rsidRPr="00CB102A">
        <w:t>has</w:t>
      </w:r>
      <w:r w:rsidRPr="00CB102A">
        <w:rPr>
          <w:spacing w:val="-11"/>
        </w:rPr>
        <w:t xml:space="preserve"> </w:t>
      </w:r>
      <w:r w:rsidR="007B53D4" w:rsidRPr="00CB102A">
        <w:rPr>
          <w:spacing w:val="-11"/>
        </w:rPr>
        <w:t xml:space="preserve">continued the efforts </w:t>
      </w:r>
      <w:r w:rsidRPr="00CB102A">
        <w:t>to</w:t>
      </w:r>
      <w:r w:rsidRPr="00CB102A">
        <w:rPr>
          <w:spacing w:val="-9"/>
        </w:rPr>
        <w:t xml:space="preserve"> </w:t>
      </w:r>
      <w:r w:rsidRPr="00CB102A">
        <w:t>address</w:t>
      </w:r>
      <w:r w:rsidRPr="00CB102A">
        <w:rPr>
          <w:spacing w:val="-8"/>
        </w:rPr>
        <w:t xml:space="preserve"> </w:t>
      </w:r>
      <w:r w:rsidRPr="00CB102A">
        <w:t>the</w:t>
      </w:r>
      <w:r w:rsidRPr="00CB102A">
        <w:rPr>
          <w:spacing w:val="-11"/>
        </w:rPr>
        <w:t xml:space="preserve"> </w:t>
      </w:r>
      <w:r w:rsidRPr="00CB102A">
        <w:t>need</w:t>
      </w:r>
      <w:r w:rsidRPr="00CB102A">
        <w:rPr>
          <w:spacing w:val="-10"/>
        </w:rPr>
        <w:t xml:space="preserve"> </w:t>
      </w:r>
      <w:r w:rsidRPr="00CB102A">
        <w:t>for</w:t>
      </w:r>
      <w:r w:rsidR="007B53D4" w:rsidRPr="00CB102A">
        <w:t xml:space="preserve"> </w:t>
      </w:r>
      <w:r w:rsidR="003D082F" w:rsidRPr="00CB102A">
        <w:t>h</w:t>
      </w:r>
      <w:r w:rsidRPr="00CB102A">
        <w:t>ousing</w:t>
      </w:r>
      <w:r w:rsidR="003D082F" w:rsidRPr="00CB102A">
        <w:t xml:space="preserve"> at the low, moderate and entry level market rates</w:t>
      </w:r>
      <w:r w:rsidRPr="00CB102A">
        <w:t>.</w:t>
      </w:r>
      <w:r w:rsidRPr="00CB102A">
        <w:rPr>
          <w:spacing w:val="-10"/>
        </w:rPr>
        <w:t xml:space="preserve"> </w:t>
      </w:r>
      <w:r w:rsidR="003D082F" w:rsidRPr="00CB102A">
        <w:rPr>
          <w:spacing w:val="-10"/>
        </w:rPr>
        <w:t xml:space="preserve">Our efforts to </w:t>
      </w:r>
      <w:r w:rsidR="003D082F" w:rsidRPr="00CB102A">
        <w:t xml:space="preserve">completely </w:t>
      </w:r>
      <w:r w:rsidRPr="00CB102A">
        <w:t xml:space="preserve">rewrite </w:t>
      </w:r>
      <w:proofErr w:type="gramStart"/>
      <w:r w:rsidR="003D082F" w:rsidRPr="00CB102A">
        <w:t xml:space="preserve">our </w:t>
      </w:r>
      <w:r w:rsidRPr="00CB102A">
        <w:t>the</w:t>
      </w:r>
      <w:proofErr w:type="gramEnd"/>
      <w:r w:rsidRPr="00CB102A">
        <w:t xml:space="preserve"> zoning code to allow for accessory dwelling units</w:t>
      </w:r>
      <w:r w:rsidR="003D082F" w:rsidRPr="00CB102A">
        <w:t xml:space="preserve"> in all zoning districts has continued with public input and work sessions with our Planning Commission</w:t>
      </w:r>
      <w:r w:rsidRPr="00CB102A">
        <w:t>.</w:t>
      </w:r>
      <w:r w:rsidR="003D082F" w:rsidRPr="00CB102A">
        <w:t xml:space="preserve"> The implementation of these new regulations is expected in the year 2024.</w:t>
      </w:r>
    </w:p>
    <w:p w14:paraId="2A0025A3" w14:textId="77777777" w:rsidR="003D082F" w:rsidRPr="00CB102A" w:rsidRDefault="00394B9B">
      <w:pPr>
        <w:pStyle w:val="BodyText"/>
        <w:spacing w:before="195" w:line="276" w:lineRule="auto"/>
        <w:ind w:left="1440" w:right="1431"/>
        <w:jc w:val="both"/>
        <w:rPr>
          <w:spacing w:val="-15"/>
        </w:rPr>
      </w:pPr>
      <w:r w:rsidRPr="00CB102A">
        <w:t xml:space="preserve">The </w:t>
      </w:r>
      <w:proofErr w:type="gramStart"/>
      <w:r w:rsidRPr="00CB102A">
        <w:t>City</w:t>
      </w:r>
      <w:proofErr w:type="gramEnd"/>
      <w:r w:rsidRPr="00CB102A">
        <w:t xml:space="preserve"> will continue to allow </w:t>
      </w:r>
      <w:r w:rsidRPr="00CB102A">
        <w:rPr>
          <w:spacing w:val="2"/>
        </w:rPr>
        <w:t xml:space="preserve">zoning </w:t>
      </w:r>
      <w:r w:rsidRPr="00CB102A">
        <w:t>ordinances</w:t>
      </w:r>
      <w:r w:rsidRPr="00CB102A">
        <w:rPr>
          <w:spacing w:val="-12"/>
        </w:rPr>
        <w:t xml:space="preserve"> </w:t>
      </w:r>
      <w:r w:rsidRPr="00CB102A">
        <w:t>for</w:t>
      </w:r>
      <w:r w:rsidRPr="00CB102A">
        <w:rPr>
          <w:spacing w:val="-14"/>
        </w:rPr>
        <w:t xml:space="preserve"> </w:t>
      </w:r>
      <w:r w:rsidRPr="00CB102A">
        <w:t>lot</w:t>
      </w:r>
      <w:r w:rsidRPr="00CB102A">
        <w:rPr>
          <w:spacing w:val="-14"/>
        </w:rPr>
        <w:t xml:space="preserve"> </w:t>
      </w:r>
      <w:r w:rsidRPr="00CB102A">
        <w:t>sizes</w:t>
      </w:r>
      <w:r w:rsidRPr="00CB102A">
        <w:rPr>
          <w:spacing w:val="-15"/>
        </w:rPr>
        <w:t xml:space="preserve"> </w:t>
      </w:r>
      <w:r w:rsidRPr="00CB102A">
        <w:t>of</w:t>
      </w:r>
      <w:r w:rsidRPr="00CB102A">
        <w:rPr>
          <w:spacing w:val="-15"/>
        </w:rPr>
        <w:t xml:space="preserve"> </w:t>
      </w:r>
      <w:r w:rsidRPr="00CB102A">
        <w:t>a</w:t>
      </w:r>
      <w:r w:rsidRPr="00CB102A">
        <w:rPr>
          <w:spacing w:val="-16"/>
        </w:rPr>
        <w:t xml:space="preserve"> </w:t>
      </w:r>
      <w:r w:rsidRPr="00CB102A">
        <w:t>minimum</w:t>
      </w:r>
      <w:r w:rsidRPr="00CB102A">
        <w:rPr>
          <w:spacing w:val="-14"/>
        </w:rPr>
        <w:t xml:space="preserve"> </w:t>
      </w:r>
      <w:r w:rsidRPr="00CB102A">
        <w:t>of</w:t>
      </w:r>
      <w:r w:rsidRPr="00CB102A">
        <w:rPr>
          <w:spacing w:val="-15"/>
        </w:rPr>
        <w:t xml:space="preserve"> </w:t>
      </w:r>
      <w:r w:rsidRPr="00CB102A">
        <w:t>4,000</w:t>
      </w:r>
      <w:r w:rsidRPr="00CB102A">
        <w:rPr>
          <w:spacing w:val="-15"/>
        </w:rPr>
        <w:t xml:space="preserve"> </w:t>
      </w:r>
      <w:r w:rsidRPr="00CB102A">
        <w:t>square</w:t>
      </w:r>
      <w:r w:rsidRPr="00CB102A">
        <w:rPr>
          <w:spacing w:val="-15"/>
        </w:rPr>
        <w:t xml:space="preserve"> </w:t>
      </w:r>
      <w:r w:rsidRPr="00CB102A">
        <w:t>feet</w:t>
      </w:r>
      <w:r w:rsidRPr="00CB102A">
        <w:rPr>
          <w:spacing w:val="-15"/>
        </w:rPr>
        <w:t xml:space="preserve"> </w:t>
      </w:r>
      <w:r w:rsidRPr="00CB102A">
        <w:t>and</w:t>
      </w:r>
      <w:r w:rsidRPr="00CB102A">
        <w:rPr>
          <w:spacing w:val="-15"/>
        </w:rPr>
        <w:t xml:space="preserve"> </w:t>
      </w:r>
      <w:r w:rsidRPr="00CB102A">
        <w:t>allow</w:t>
      </w:r>
      <w:r w:rsidRPr="00CB102A">
        <w:rPr>
          <w:spacing w:val="-13"/>
        </w:rPr>
        <w:t xml:space="preserve"> </w:t>
      </w:r>
      <w:r w:rsidR="003D082F" w:rsidRPr="00CB102A">
        <w:rPr>
          <w:spacing w:val="-13"/>
        </w:rPr>
        <w:t>varying from this minimum size through a public hearing process. We also eliminated lot</w:t>
      </w:r>
      <w:r w:rsidRPr="00CB102A">
        <w:t xml:space="preserve"> width requirements within a</w:t>
      </w:r>
      <w:r w:rsidR="003D082F" w:rsidRPr="00CB102A">
        <w:t>ll</w:t>
      </w:r>
      <w:r w:rsidRPr="00CB102A">
        <w:t xml:space="preserve"> zon</w:t>
      </w:r>
      <w:r w:rsidR="003D082F" w:rsidRPr="00CB102A">
        <w:t>ing districts within</w:t>
      </w:r>
      <w:r w:rsidRPr="00CB102A">
        <w:t xml:space="preserve"> the </w:t>
      </w:r>
      <w:proofErr w:type="gramStart"/>
      <w:r w:rsidRPr="00CB102A">
        <w:t>City</w:t>
      </w:r>
      <w:proofErr w:type="gramEnd"/>
      <w:r w:rsidR="003D082F" w:rsidRPr="00CB102A">
        <w:t xml:space="preserve">. With these allowances, we </w:t>
      </w:r>
      <w:proofErr w:type="gramStart"/>
      <w:r w:rsidR="003D082F" w:rsidRPr="00CB102A">
        <w:t>are</w:t>
      </w:r>
      <w:r w:rsidRPr="00CB102A">
        <w:t xml:space="preserve"> able to</w:t>
      </w:r>
      <w:proofErr w:type="gramEnd"/>
      <w:r w:rsidRPr="00CB102A">
        <w:t xml:space="preserve"> encourage greater diversity in the types of housing</w:t>
      </w:r>
      <w:r w:rsidRPr="00CB102A">
        <w:rPr>
          <w:spacing w:val="-16"/>
        </w:rPr>
        <w:t xml:space="preserve"> </w:t>
      </w:r>
      <w:r w:rsidRPr="00CB102A">
        <w:t>units</w:t>
      </w:r>
      <w:r w:rsidRPr="00CB102A">
        <w:rPr>
          <w:spacing w:val="-16"/>
        </w:rPr>
        <w:t xml:space="preserve"> </w:t>
      </w:r>
      <w:r w:rsidRPr="00CB102A">
        <w:t>constructed</w:t>
      </w:r>
      <w:r w:rsidR="003D082F" w:rsidRPr="00CB102A">
        <w:t xml:space="preserve"> and converted</w:t>
      </w:r>
      <w:r w:rsidRPr="00CB102A">
        <w:t>.</w:t>
      </w:r>
      <w:r w:rsidRPr="00CB102A">
        <w:rPr>
          <w:spacing w:val="-15"/>
        </w:rPr>
        <w:t xml:space="preserve"> </w:t>
      </w:r>
    </w:p>
    <w:p w14:paraId="55ABF95A" w14:textId="22F7557C" w:rsidR="00DB2D38" w:rsidRPr="00CB102A" w:rsidRDefault="00093921">
      <w:pPr>
        <w:pStyle w:val="BodyText"/>
        <w:spacing w:before="195" w:line="276" w:lineRule="auto"/>
        <w:ind w:left="1440" w:right="1431"/>
        <w:jc w:val="both"/>
      </w:pPr>
      <w:r w:rsidRPr="00CB102A">
        <w:t>T</w:t>
      </w:r>
      <w:r w:rsidR="00394B9B" w:rsidRPr="00CB102A">
        <w:t>he</w:t>
      </w:r>
      <w:r w:rsidR="00394B9B" w:rsidRPr="00CB102A">
        <w:rPr>
          <w:spacing w:val="-16"/>
        </w:rPr>
        <w:t xml:space="preserve"> </w:t>
      </w:r>
      <w:proofErr w:type="gramStart"/>
      <w:r w:rsidR="00394B9B" w:rsidRPr="00CB102A">
        <w:t>City</w:t>
      </w:r>
      <w:proofErr w:type="gramEnd"/>
      <w:r w:rsidR="00394B9B" w:rsidRPr="00CB102A">
        <w:rPr>
          <w:spacing w:val="-17"/>
        </w:rPr>
        <w:t xml:space="preserve"> </w:t>
      </w:r>
      <w:r w:rsidRPr="00CB102A">
        <w:rPr>
          <w:spacing w:val="-17"/>
        </w:rPr>
        <w:t xml:space="preserve">has and </w:t>
      </w:r>
      <w:r w:rsidR="00394B9B" w:rsidRPr="00CB102A">
        <w:t>will</w:t>
      </w:r>
      <w:r w:rsidR="00394B9B" w:rsidRPr="00CB102A">
        <w:rPr>
          <w:spacing w:val="-17"/>
        </w:rPr>
        <w:t xml:space="preserve"> </w:t>
      </w:r>
      <w:r w:rsidR="00394B9B" w:rsidRPr="00CB102A">
        <w:t>continue</w:t>
      </w:r>
      <w:r w:rsidR="00394B9B" w:rsidRPr="00CB102A">
        <w:rPr>
          <w:spacing w:val="-15"/>
        </w:rPr>
        <w:t xml:space="preserve"> </w:t>
      </w:r>
      <w:r w:rsidR="00394B9B" w:rsidRPr="00CB102A">
        <w:t>to</w:t>
      </w:r>
      <w:r w:rsidR="00394B9B" w:rsidRPr="00CB102A">
        <w:rPr>
          <w:spacing w:val="-18"/>
        </w:rPr>
        <w:t xml:space="preserve"> </w:t>
      </w:r>
      <w:r w:rsidR="00394B9B" w:rsidRPr="00CB102A">
        <w:t>allow</w:t>
      </w:r>
      <w:r w:rsidR="00394B9B" w:rsidRPr="00CB102A">
        <w:rPr>
          <w:spacing w:val="-16"/>
        </w:rPr>
        <w:t xml:space="preserve"> </w:t>
      </w:r>
      <w:r w:rsidR="00394B9B" w:rsidRPr="00CB102A">
        <w:t>for</w:t>
      </w:r>
      <w:r w:rsidR="00394B9B" w:rsidRPr="00CB102A">
        <w:rPr>
          <w:spacing w:val="-17"/>
        </w:rPr>
        <w:t xml:space="preserve"> </w:t>
      </w:r>
      <w:r w:rsidR="00394B9B" w:rsidRPr="00CB102A">
        <w:t>Attached</w:t>
      </w:r>
      <w:r w:rsidR="00394B9B" w:rsidRPr="00CB102A">
        <w:rPr>
          <w:spacing w:val="-16"/>
        </w:rPr>
        <w:t xml:space="preserve"> </w:t>
      </w:r>
      <w:r w:rsidR="003D082F" w:rsidRPr="00CB102A">
        <w:rPr>
          <w:spacing w:val="-16"/>
        </w:rPr>
        <w:t xml:space="preserve">Single </w:t>
      </w:r>
      <w:r w:rsidR="00394B9B" w:rsidRPr="00CB102A">
        <w:t>dwelling</w:t>
      </w:r>
      <w:r w:rsidR="00394B9B" w:rsidRPr="00CB102A">
        <w:rPr>
          <w:spacing w:val="-15"/>
        </w:rPr>
        <w:t xml:space="preserve"> </w:t>
      </w:r>
      <w:r w:rsidR="00394B9B" w:rsidRPr="00CB102A">
        <w:t>units</w:t>
      </w:r>
      <w:r w:rsidR="003D082F" w:rsidRPr="00CB102A">
        <w:t xml:space="preserve"> (Townhomes)</w:t>
      </w:r>
      <w:r w:rsidR="00394B9B" w:rsidRPr="00CB102A">
        <w:rPr>
          <w:spacing w:val="-16"/>
        </w:rPr>
        <w:t xml:space="preserve"> </w:t>
      </w:r>
      <w:r w:rsidR="00394B9B" w:rsidRPr="00CB102A">
        <w:t>in</w:t>
      </w:r>
      <w:r w:rsidR="00394B9B" w:rsidRPr="00CB102A">
        <w:rPr>
          <w:spacing w:val="-15"/>
        </w:rPr>
        <w:t xml:space="preserve"> </w:t>
      </w:r>
      <w:r w:rsidR="00394B9B" w:rsidRPr="00CB102A">
        <w:t>4</w:t>
      </w:r>
      <w:r w:rsidR="00394B9B" w:rsidRPr="00CB102A">
        <w:rPr>
          <w:spacing w:val="-16"/>
        </w:rPr>
        <w:t xml:space="preserve"> </w:t>
      </w:r>
      <w:r w:rsidR="00394B9B" w:rsidRPr="00CB102A">
        <w:t>of</w:t>
      </w:r>
      <w:r w:rsidR="00394B9B" w:rsidRPr="00CB102A">
        <w:rPr>
          <w:spacing w:val="-8"/>
        </w:rPr>
        <w:t xml:space="preserve"> </w:t>
      </w:r>
      <w:r w:rsidR="00394B9B" w:rsidRPr="00CB102A">
        <w:t>the</w:t>
      </w:r>
      <w:r w:rsidR="00394B9B" w:rsidRPr="00CB102A">
        <w:rPr>
          <w:spacing w:val="-18"/>
        </w:rPr>
        <w:t xml:space="preserve"> </w:t>
      </w:r>
      <w:r w:rsidR="00394B9B" w:rsidRPr="00CB102A">
        <w:t>5</w:t>
      </w:r>
      <w:r w:rsidR="00394B9B" w:rsidRPr="00CB102A">
        <w:rPr>
          <w:spacing w:val="-15"/>
        </w:rPr>
        <w:t xml:space="preserve"> </w:t>
      </w:r>
      <w:r w:rsidR="00394B9B" w:rsidRPr="00CB102A">
        <w:t>residential zoning districts as well as</w:t>
      </w:r>
      <w:r w:rsidR="00394B9B" w:rsidRPr="00CB102A">
        <w:rPr>
          <w:spacing w:val="-3"/>
        </w:rPr>
        <w:t xml:space="preserve"> </w:t>
      </w:r>
      <w:r w:rsidR="00394B9B" w:rsidRPr="00CB102A">
        <w:t>allowing</w:t>
      </w:r>
      <w:r w:rsidRPr="00CB102A">
        <w:t xml:space="preserve"> duplexes</w:t>
      </w:r>
      <w:r w:rsidR="003D082F" w:rsidRPr="00CB102A">
        <w:t xml:space="preserve"> in 4 of the 5 residential zones within the City. </w:t>
      </w:r>
    </w:p>
    <w:p w14:paraId="39B4644B" w14:textId="789C6CAF" w:rsidR="003D082F" w:rsidRDefault="003D082F">
      <w:pPr>
        <w:pStyle w:val="BodyText"/>
        <w:spacing w:before="195" w:line="276" w:lineRule="auto"/>
        <w:ind w:left="1440" w:right="1431"/>
        <w:jc w:val="both"/>
      </w:pPr>
      <w:r w:rsidRPr="00CB102A">
        <w:t>The City has already eliminated zoning requirements and restrictions when converting any hotel/motel type development into residential apartments. As well as lowering the parking space requirements for these conversions, thus making conversions more attainable and cost effective.</w:t>
      </w:r>
      <w:r>
        <w:t xml:space="preserve"> </w:t>
      </w:r>
    </w:p>
    <w:p w14:paraId="1C9F1BF4" w14:textId="60887BF7" w:rsidR="003D082F" w:rsidRDefault="003D082F" w:rsidP="003D082F">
      <w:pPr>
        <w:pStyle w:val="BodyText"/>
        <w:spacing w:before="195" w:line="276" w:lineRule="auto"/>
        <w:ind w:right="1431"/>
        <w:jc w:val="both"/>
      </w:pPr>
    </w:p>
    <w:p w14:paraId="128C82C9" w14:textId="0613E153" w:rsidR="00DB2D38" w:rsidRDefault="00394B9B" w:rsidP="00987A4D">
      <w:pPr>
        <w:pStyle w:val="Heading2"/>
        <w:spacing w:before="200" w:line="441" w:lineRule="auto"/>
        <w:ind w:right="1377"/>
      </w:pPr>
      <w:r>
        <w:t xml:space="preserve">Actions taken to encourage public housing residents to become more involved in management and participate in homeownership Actions taken to provide assistance to troubled </w:t>
      </w:r>
      <w:proofErr w:type="gramStart"/>
      <w:r>
        <w:t>PHAs</w:t>
      </w:r>
      <w:proofErr w:type="gramEnd"/>
    </w:p>
    <w:p w14:paraId="63801D81" w14:textId="4116A635" w:rsidR="00307404" w:rsidRPr="00307404" w:rsidRDefault="00307404" w:rsidP="00987A4D">
      <w:pPr>
        <w:pStyle w:val="Heading2"/>
        <w:spacing w:before="200" w:line="441" w:lineRule="auto"/>
        <w:ind w:right="1377"/>
        <w:rPr>
          <w:b w:val="0"/>
          <w:bCs w:val="0"/>
          <w:sz w:val="20"/>
        </w:rPr>
      </w:pPr>
      <w:r>
        <w:rPr>
          <w:b w:val="0"/>
          <w:bCs w:val="0"/>
        </w:rPr>
        <w:t xml:space="preserve">None </w:t>
      </w:r>
      <w:proofErr w:type="gramStart"/>
      <w:r>
        <w:rPr>
          <w:b w:val="0"/>
          <w:bCs w:val="0"/>
        </w:rPr>
        <w:t>at this time</w:t>
      </w:r>
      <w:proofErr w:type="gramEnd"/>
    </w:p>
    <w:p w14:paraId="33821184" w14:textId="77777777" w:rsidR="00DB2D38" w:rsidRDefault="00394B9B">
      <w:pPr>
        <w:spacing w:before="44"/>
        <w:ind w:left="1440"/>
        <w:rPr>
          <w:rFonts w:ascii="Calibri"/>
          <w:b/>
          <w:sz w:val="28"/>
        </w:rPr>
      </w:pPr>
      <w:r>
        <w:rPr>
          <w:rFonts w:ascii="Calibri"/>
          <w:b/>
          <w:sz w:val="28"/>
        </w:rPr>
        <w:t>CR-35 - Other Actions 91.220(j)-(k); 91.320(</w:t>
      </w:r>
      <w:proofErr w:type="spellStart"/>
      <w:r>
        <w:rPr>
          <w:rFonts w:ascii="Calibri"/>
          <w:b/>
          <w:sz w:val="28"/>
        </w:rPr>
        <w:t>i</w:t>
      </w:r>
      <w:proofErr w:type="spellEnd"/>
      <w:r>
        <w:rPr>
          <w:rFonts w:ascii="Calibri"/>
          <w:b/>
          <w:sz w:val="28"/>
        </w:rPr>
        <w:t>)-(j)</w:t>
      </w:r>
    </w:p>
    <w:p w14:paraId="1FE6CD25" w14:textId="77777777" w:rsidR="00DB2D38" w:rsidRDefault="00394B9B">
      <w:pPr>
        <w:spacing w:before="111" w:line="276" w:lineRule="auto"/>
        <w:ind w:left="1440" w:right="1521"/>
        <w:rPr>
          <w:rFonts w:ascii="Calibri"/>
          <w:b/>
          <w:sz w:val="24"/>
        </w:rPr>
      </w:pPr>
      <w:r>
        <w:rPr>
          <w:rFonts w:ascii="Calibri"/>
          <w:b/>
          <w:sz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w:t>
      </w:r>
      <w:proofErr w:type="spellStart"/>
      <w:r>
        <w:rPr>
          <w:rFonts w:ascii="Calibri"/>
          <w:b/>
          <w:sz w:val="24"/>
        </w:rPr>
        <w:t>i</w:t>
      </w:r>
      <w:proofErr w:type="spellEnd"/>
      <w:r>
        <w:rPr>
          <w:rFonts w:ascii="Calibri"/>
          <w:b/>
          <w:sz w:val="24"/>
        </w:rPr>
        <w:t>)</w:t>
      </w:r>
    </w:p>
    <w:p w14:paraId="7458D643" w14:textId="51C00310" w:rsidR="00DB2D38" w:rsidRDefault="00394B9B">
      <w:pPr>
        <w:pStyle w:val="BodyText"/>
        <w:spacing w:before="200"/>
        <w:ind w:left="1440" w:right="1442"/>
        <w:jc w:val="both"/>
      </w:pPr>
      <w:r>
        <w:t xml:space="preserve">The </w:t>
      </w:r>
      <w:r w:rsidR="005A2A7A">
        <w:t xml:space="preserve">City of Twin Falls </w:t>
      </w:r>
      <w:r>
        <w:t>complete</w:t>
      </w:r>
      <w:r w:rsidR="005A2A7A">
        <w:t>d</w:t>
      </w:r>
      <w:r>
        <w:t xml:space="preserve"> the 2020 Analysis of Impediments to Fai</w:t>
      </w:r>
      <w:r w:rsidR="002157A9">
        <w:t>r</w:t>
      </w:r>
      <w:r>
        <w:t xml:space="preserve"> Housing Choice with input from nonprofit service providers, members</w:t>
      </w:r>
      <w:r>
        <w:rPr>
          <w:spacing w:val="-8"/>
        </w:rPr>
        <w:t xml:space="preserve"> </w:t>
      </w:r>
      <w:r>
        <w:t>of</w:t>
      </w:r>
      <w:r>
        <w:rPr>
          <w:spacing w:val="-6"/>
        </w:rPr>
        <w:t xml:space="preserve"> </w:t>
      </w:r>
      <w:r>
        <w:t>the</w:t>
      </w:r>
      <w:r>
        <w:rPr>
          <w:spacing w:val="-6"/>
        </w:rPr>
        <w:t xml:space="preserve"> </w:t>
      </w:r>
      <w:r>
        <w:t>Homelessness</w:t>
      </w:r>
      <w:r>
        <w:rPr>
          <w:spacing w:val="-7"/>
        </w:rPr>
        <w:t xml:space="preserve"> </w:t>
      </w:r>
      <w:r>
        <w:t>Coalition,</w:t>
      </w:r>
      <w:r>
        <w:rPr>
          <w:spacing w:val="-7"/>
        </w:rPr>
        <w:t xml:space="preserve"> </w:t>
      </w:r>
      <w:r>
        <w:t>local</w:t>
      </w:r>
      <w:r>
        <w:rPr>
          <w:spacing w:val="-7"/>
        </w:rPr>
        <w:t xml:space="preserve"> </w:t>
      </w:r>
      <w:r>
        <w:t>school</w:t>
      </w:r>
      <w:r>
        <w:rPr>
          <w:spacing w:val="-7"/>
        </w:rPr>
        <w:t xml:space="preserve"> </w:t>
      </w:r>
      <w:r>
        <w:t>district</w:t>
      </w:r>
      <w:r>
        <w:rPr>
          <w:spacing w:val="-6"/>
        </w:rPr>
        <w:t xml:space="preserve"> </w:t>
      </w:r>
      <w:r>
        <w:t>and</w:t>
      </w:r>
      <w:r>
        <w:rPr>
          <w:spacing w:val="-6"/>
        </w:rPr>
        <w:t xml:space="preserve"> </w:t>
      </w:r>
      <w:r>
        <w:t>area</w:t>
      </w:r>
      <w:r>
        <w:rPr>
          <w:spacing w:val="-7"/>
        </w:rPr>
        <w:t xml:space="preserve"> </w:t>
      </w:r>
      <w:r>
        <w:t>agencies</w:t>
      </w:r>
      <w:r>
        <w:rPr>
          <w:spacing w:val="-6"/>
        </w:rPr>
        <w:t xml:space="preserve"> </w:t>
      </w:r>
      <w:r>
        <w:t>that</w:t>
      </w:r>
      <w:r>
        <w:rPr>
          <w:spacing w:val="-6"/>
        </w:rPr>
        <w:t xml:space="preserve"> </w:t>
      </w:r>
      <w:r>
        <w:t>serve</w:t>
      </w:r>
      <w:r>
        <w:rPr>
          <w:spacing w:val="-7"/>
        </w:rPr>
        <w:t xml:space="preserve"> </w:t>
      </w:r>
      <w:r>
        <w:t>the</w:t>
      </w:r>
      <w:r>
        <w:rPr>
          <w:spacing w:val="-7"/>
        </w:rPr>
        <w:t xml:space="preserve"> </w:t>
      </w:r>
      <w:r>
        <w:t>homeless.</w:t>
      </w:r>
      <w:r>
        <w:rPr>
          <w:spacing w:val="-6"/>
        </w:rPr>
        <w:t xml:space="preserve"> </w:t>
      </w:r>
      <w:r>
        <w:t>The</w:t>
      </w:r>
      <w:r>
        <w:rPr>
          <w:spacing w:val="-6"/>
        </w:rPr>
        <w:t xml:space="preserve"> </w:t>
      </w:r>
      <w:r>
        <w:t>input</w:t>
      </w:r>
      <w:r>
        <w:rPr>
          <w:spacing w:val="-6"/>
        </w:rPr>
        <w:t xml:space="preserve"> </w:t>
      </w:r>
      <w:r>
        <w:t>gained through this process provided valuable knowledge of the need for affordable housing and the impact city efforts in comprehensive planning and management of new development can</w:t>
      </w:r>
      <w:r>
        <w:rPr>
          <w:spacing w:val="-1"/>
        </w:rPr>
        <w:t xml:space="preserve"> </w:t>
      </w:r>
      <w:r>
        <w:t>have.</w:t>
      </w:r>
    </w:p>
    <w:p w14:paraId="0F20AFAB" w14:textId="77777777" w:rsidR="00DB2D38" w:rsidRDefault="00DB2D38">
      <w:pPr>
        <w:pStyle w:val="BodyText"/>
        <w:spacing w:before="1"/>
      </w:pPr>
    </w:p>
    <w:p w14:paraId="73FFF92D" w14:textId="3BA94192" w:rsidR="00DB2D38" w:rsidRDefault="00394B9B">
      <w:pPr>
        <w:pStyle w:val="BodyText"/>
        <w:ind w:left="1440" w:right="1435"/>
        <w:jc w:val="both"/>
      </w:pPr>
      <w:r>
        <w:t xml:space="preserve">The City of Twin Falls has made great strides in beginning to take actions to remove or ameliorate negative effects of policies and ordinances that serve as barriers to affordable housing </w:t>
      </w:r>
      <w:proofErr w:type="gramStart"/>
      <w:r>
        <w:t>in regard to</w:t>
      </w:r>
      <w:proofErr w:type="gramEnd"/>
      <w:r>
        <w:t xml:space="preserve"> zoning ordinances. This has begun with a complete rewrite of the zoning code to allow for accessory dwelling units as a conditional use. The </w:t>
      </w:r>
      <w:proofErr w:type="gramStart"/>
      <w:r>
        <w:t>City</w:t>
      </w:r>
      <w:proofErr w:type="gramEnd"/>
      <w:r>
        <w:t xml:space="preserve"> will continue to allow zoning ordinances for lot sizes of a minimum of 4,000 square feet and allow no maximum size within its standard zones. By allowing no maximum, or width requirements within a standard zone, the </w:t>
      </w:r>
      <w:proofErr w:type="gramStart"/>
      <w:r>
        <w:t>City</w:t>
      </w:r>
      <w:proofErr w:type="gramEnd"/>
      <w:r>
        <w:t xml:space="preserve"> is able to encourage greater diversity in the types of housing units constructed. In addition, the </w:t>
      </w:r>
      <w:proofErr w:type="gramStart"/>
      <w:r>
        <w:t>City</w:t>
      </w:r>
      <w:proofErr w:type="gramEnd"/>
      <w:r>
        <w:t xml:space="preserve"> will continue to allow for Single Attached dwelling units in 4 of the 5 residential zoning districts</w:t>
      </w:r>
      <w:r w:rsidR="00675659">
        <w:t xml:space="preserve">. </w:t>
      </w:r>
    </w:p>
    <w:p w14:paraId="3E072D2E" w14:textId="77777777" w:rsidR="00DB2D38" w:rsidRDefault="00DB2D38">
      <w:pPr>
        <w:pStyle w:val="BodyText"/>
        <w:spacing w:before="11"/>
        <w:rPr>
          <w:sz w:val="23"/>
        </w:rPr>
      </w:pPr>
    </w:p>
    <w:p w14:paraId="345D250A" w14:textId="77777777" w:rsidR="00DB2D38" w:rsidRDefault="00394B9B">
      <w:pPr>
        <w:pStyle w:val="Heading2"/>
      </w:pPr>
      <w:r>
        <w:t>Actions taken to address obstacles to meeting underserved needs. 91.220(k); 91.320(j)</w:t>
      </w:r>
    </w:p>
    <w:p w14:paraId="7462B69D" w14:textId="77777777" w:rsidR="00DB2D38" w:rsidRDefault="00DB2D38">
      <w:pPr>
        <w:pStyle w:val="BodyText"/>
        <w:spacing w:before="1"/>
        <w:rPr>
          <w:rFonts w:ascii="Calibri"/>
          <w:b/>
          <w:sz w:val="20"/>
        </w:rPr>
      </w:pPr>
    </w:p>
    <w:p w14:paraId="0A0497E7" w14:textId="58E9B588" w:rsidR="00DB2D38" w:rsidRDefault="00394B9B">
      <w:pPr>
        <w:pStyle w:val="BodyText"/>
        <w:ind w:left="1440" w:right="1435"/>
        <w:jc w:val="both"/>
      </w:pPr>
      <w:r>
        <w:t xml:space="preserve">The City of Twin Falls worked with public and private agencies to better understand the obstacles in meeting underserved needs. Actions include </w:t>
      </w:r>
      <w:r w:rsidRPr="00093921">
        <w:t>attending (</w:t>
      </w:r>
      <w:r w:rsidR="00093921" w:rsidRPr="00093921">
        <w:t>6</w:t>
      </w:r>
      <w:r w:rsidRPr="00093921">
        <w:t>)</w:t>
      </w:r>
      <w:r>
        <w:t xml:space="preserve"> monthly Region 4 Homeless Coalition </w:t>
      </w:r>
      <w:r w:rsidR="00093921">
        <w:t xml:space="preserve">and subcommittee meetings </w:t>
      </w:r>
      <w:r>
        <w:t xml:space="preserve">and participation in the annual Point in Time Count. In addition, the </w:t>
      </w:r>
      <w:proofErr w:type="gramStart"/>
      <w:r>
        <w:t>City</w:t>
      </w:r>
      <w:proofErr w:type="gramEnd"/>
      <w:r>
        <w:t xml:space="preserve"> created a Diversity and Inclusion Committee in 2019 that is meant to advise the City Manager on ways in which to serve the needs of the underserved.</w:t>
      </w:r>
    </w:p>
    <w:p w14:paraId="6D443DED" w14:textId="77777777" w:rsidR="00DB2D38" w:rsidRDefault="00DB2D38">
      <w:pPr>
        <w:pStyle w:val="BodyText"/>
      </w:pPr>
    </w:p>
    <w:p w14:paraId="6E089219" w14:textId="77777777" w:rsidR="00DB2D38" w:rsidRDefault="00394B9B">
      <w:pPr>
        <w:pStyle w:val="Heading2"/>
        <w:jc w:val="both"/>
      </w:pPr>
      <w:r>
        <w:t>Actions taken to reduce lead-based paint hazards. 91.220(k); 91.320(j)</w:t>
      </w:r>
    </w:p>
    <w:p w14:paraId="59D9C397" w14:textId="77777777" w:rsidR="00DB2D38" w:rsidRDefault="00DB2D38">
      <w:pPr>
        <w:pStyle w:val="BodyText"/>
        <w:spacing w:before="1"/>
        <w:rPr>
          <w:rFonts w:ascii="Calibri"/>
          <w:b/>
          <w:sz w:val="20"/>
        </w:rPr>
      </w:pPr>
    </w:p>
    <w:p w14:paraId="12315119" w14:textId="77777777" w:rsidR="00DB2D38" w:rsidRDefault="00394B9B">
      <w:pPr>
        <w:pStyle w:val="BodyText"/>
        <w:spacing w:before="1"/>
        <w:ind w:left="1440"/>
        <w:jc w:val="both"/>
      </w:pPr>
      <w:r>
        <w:t xml:space="preserve">None </w:t>
      </w:r>
      <w:proofErr w:type="gramStart"/>
      <w:r>
        <w:t>at this time</w:t>
      </w:r>
      <w:proofErr w:type="gramEnd"/>
      <w:r>
        <w:t>.</w:t>
      </w:r>
    </w:p>
    <w:p w14:paraId="0900EC60" w14:textId="77777777" w:rsidR="00DB2D38" w:rsidRDefault="00DB2D38">
      <w:pPr>
        <w:pStyle w:val="BodyText"/>
        <w:spacing w:before="8"/>
        <w:rPr>
          <w:sz w:val="20"/>
        </w:rPr>
      </w:pPr>
    </w:p>
    <w:p w14:paraId="0378CC83" w14:textId="77777777" w:rsidR="00DB2D38" w:rsidRDefault="00394B9B">
      <w:pPr>
        <w:pStyle w:val="Heading2"/>
        <w:spacing w:before="1"/>
        <w:jc w:val="both"/>
      </w:pPr>
      <w:r>
        <w:t>Actions taken to reduce the number of poverty-level families. 91.220(k); 91.320(j)</w:t>
      </w:r>
    </w:p>
    <w:p w14:paraId="4C4A6274" w14:textId="77777777" w:rsidR="00DB2D38" w:rsidRDefault="00DB2D38">
      <w:pPr>
        <w:pStyle w:val="BodyText"/>
        <w:spacing w:before="1"/>
        <w:rPr>
          <w:rFonts w:ascii="Calibri"/>
          <w:b/>
          <w:sz w:val="20"/>
        </w:rPr>
      </w:pPr>
    </w:p>
    <w:p w14:paraId="62CD378A" w14:textId="43B7CFB2" w:rsidR="00DB2D38" w:rsidRDefault="00394B9B" w:rsidP="00987A4D">
      <w:pPr>
        <w:pStyle w:val="BodyText"/>
        <w:ind w:left="1440"/>
        <w:jc w:val="both"/>
        <w:sectPr w:rsidR="00DB2D38">
          <w:pgSz w:w="15840" w:h="12240" w:orient="landscape"/>
          <w:pgMar w:top="1140" w:right="0" w:bottom="1280" w:left="0" w:header="0" w:footer="1009" w:gutter="0"/>
          <w:cols w:space="720"/>
        </w:sectPr>
      </w:pPr>
      <w:r>
        <w:t xml:space="preserve">None </w:t>
      </w:r>
      <w:proofErr w:type="gramStart"/>
      <w:r>
        <w:t>at this time</w:t>
      </w:r>
      <w:proofErr w:type="gramEnd"/>
      <w:r>
        <w:t>.</w:t>
      </w:r>
    </w:p>
    <w:p w14:paraId="75D8A164" w14:textId="77777777" w:rsidR="00DB2D38" w:rsidRDefault="00DB2D38">
      <w:pPr>
        <w:pStyle w:val="BodyText"/>
        <w:spacing w:before="6"/>
        <w:rPr>
          <w:sz w:val="21"/>
        </w:rPr>
      </w:pPr>
    </w:p>
    <w:p w14:paraId="12B467A0" w14:textId="77777777" w:rsidR="00DB2D38" w:rsidRDefault="00394B9B">
      <w:pPr>
        <w:pStyle w:val="Heading2"/>
        <w:spacing w:before="52"/>
      </w:pPr>
      <w:r>
        <w:t>Actions taken to develop institutional structure. 91.220(k); 91.320(j)</w:t>
      </w:r>
    </w:p>
    <w:p w14:paraId="2DF826FD" w14:textId="77777777" w:rsidR="00DB2D38" w:rsidRDefault="00DB2D38">
      <w:pPr>
        <w:pStyle w:val="BodyText"/>
        <w:spacing w:before="1"/>
        <w:rPr>
          <w:rFonts w:ascii="Calibri"/>
          <w:b/>
          <w:sz w:val="20"/>
        </w:rPr>
      </w:pPr>
    </w:p>
    <w:p w14:paraId="23FC84CA" w14:textId="422D56A5" w:rsidR="00DB2D38" w:rsidRDefault="00394B9B">
      <w:pPr>
        <w:pStyle w:val="BodyText"/>
        <w:spacing w:before="1"/>
        <w:ind w:left="1440" w:right="1440"/>
        <w:jc w:val="both"/>
      </w:pPr>
      <w:r>
        <w:t xml:space="preserve">The </w:t>
      </w:r>
      <w:proofErr w:type="gramStart"/>
      <w:r>
        <w:t>City</w:t>
      </w:r>
      <w:proofErr w:type="gramEnd"/>
      <w:r>
        <w:t xml:space="preserve"> supported the efforts of developing institutional structure by coordinating with local agencies and various units of local government in the development of the Five Year CDBG Consolidated Plan and PY2020 Annual Action Plan. </w:t>
      </w:r>
      <w:proofErr w:type="gramStart"/>
      <w:r>
        <w:t>The</w:t>
      </w:r>
      <w:r>
        <w:rPr>
          <w:spacing w:val="-47"/>
        </w:rPr>
        <w:t xml:space="preserve"> </w:t>
      </w:r>
      <w:r w:rsidR="00675659">
        <w:rPr>
          <w:spacing w:val="-47"/>
        </w:rPr>
        <w:t xml:space="preserve"> </w:t>
      </w:r>
      <w:r>
        <w:t>City</w:t>
      </w:r>
      <w:proofErr w:type="gramEnd"/>
      <w:r>
        <w:t xml:space="preserve"> recognized</w:t>
      </w:r>
      <w:r>
        <w:rPr>
          <w:spacing w:val="-14"/>
        </w:rPr>
        <w:t xml:space="preserve"> </w:t>
      </w:r>
      <w:r>
        <w:t>and</w:t>
      </w:r>
      <w:r>
        <w:rPr>
          <w:spacing w:val="-14"/>
        </w:rPr>
        <w:t xml:space="preserve"> </w:t>
      </w:r>
      <w:r>
        <w:t>encouraged</w:t>
      </w:r>
      <w:r>
        <w:rPr>
          <w:spacing w:val="-12"/>
        </w:rPr>
        <w:t xml:space="preserve"> </w:t>
      </w:r>
      <w:r>
        <w:t>local</w:t>
      </w:r>
      <w:r>
        <w:rPr>
          <w:spacing w:val="-12"/>
        </w:rPr>
        <w:t xml:space="preserve"> </w:t>
      </w:r>
      <w:r>
        <w:t>coordination</w:t>
      </w:r>
      <w:r>
        <w:rPr>
          <w:spacing w:val="-14"/>
        </w:rPr>
        <w:t xml:space="preserve"> </w:t>
      </w:r>
      <w:r>
        <w:t>in</w:t>
      </w:r>
      <w:r>
        <w:rPr>
          <w:spacing w:val="-12"/>
        </w:rPr>
        <w:t xml:space="preserve"> </w:t>
      </w:r>
      <w:r>
        <w:t>the</w:t>
      </w:r>
      <w:r>
        <w:rPr>
          <w:spacing w:val="-13"/>
        </w:rPr>
        <w:t xml:space="preserve"> </w:t>
      </w:r>
      <w:r>
        <w:t>Region</w:t>
      </w:r>
      <w:r>
        <w:rPr>
          <w:spacing w:val="-14"/>
        </w:rPr>
        <w:t xml:space="preserve"> </w:t>
      </w:r>
      <w:r>
        <w:t>4</w:t>
      </w:r>
      <w:r>
        <w:rPr>
          <w:spacing w:val="-12"/>
        </w:rPr>
        <w:t xml:space="preserve"> </w:t>
      </w:r>
      <w:r>
        <w:t>Homeless</w:t>
      </w:r>
      <w:r>
        <w:rPr>
          <w:spacing w:val="-13"/>
        </w:rPr>
        <w:t xml:space="preserve"> </w:t>
      </w:r>
      <w:r>
        <w:t>Coalition</w:t>
      </w:r>
      <w:r>
        <w:rPr>
          <w:spacing w:val="-13"/>
        </w:rPr>
        <w:t xml:space="preserve"> </w:t>
      </w:r>
      <w:r>
        <w:t>meetings</w:t>
      </w:r>
      <w:r>
        <w:rPr>
          <w:spacing w:val="-17"/>
        </w:rPr>
        <w:t xml:space="preserve"> </w:t>
      </w:r>
      <w:r>
        <w:t>to</w:t>
      </w:r>
      <w:r>
        <w:rPr>
          <w:spacing w:val="-11"/>
        </w:rPr>
        <w:t xml:space="preserve"> </w:t>
      </w:r>
      <w:r>
        <w:t>exchange</w:t>
      </w:r>
      <w:r>
        <w:rPr>
          <w:spacing w:val="-13"/>
        </w:rPr>
        <w:t xml:space="preserve"> </w:t>
      </w:r>
      <w:r>
        <w:t>information,</w:t>
      </w:r>
      <w:r>
        <w:rPr>
          <w:spacing w:val="-14"/>
        </w:rPr>
        <w:t xml:space="preserve"> </w:t>
      </w:r>
      <w:r>
        <w:t xml:space="preserve">make referrals, increase </w:t>
      </w:r>
      <w:r w:rsidR="00675659">
        <w:t>awareness,</w:t>
      </w:r>
      <w:r>
        <w:t xml:space="preserve"> and coordinate participation in local</w:t>
      </w:r>
      <w:r>
        <w:rPr>
          <w:spacing w:val="-5"/>
        </w:rPr>
        <w:t xml:space="preserve"> </w:t>
      </w:r>
      <w:r>
        <w:t>events.</w:t>
      </w:r>
    </w:p>
    <w:p w14:paraId="297EFACC" w14:textId="77777777" w:rsidR="00DB2D38" w:rsidRDefault="00DB2D38">
      <w:pPr>
        <w:pStyle w:val="BodyText"/>
        <w:rPr>
          <w:sz w:val="26"/>
        </w:rPr>
      </w:pPr>
    </w:p>
    <w:p w14:paraId="07682D8B" w14:textId="77777777" w:rsidR="00DB2D38" w:rsidRDefault="00DB2D38">
      <w:pPr>
        <w:pStyle w:val="BodyText"/>
        <w:spacing w:before="5"/>
        <w:rPr>
          <w:sz w:val="20"/>
        </w:rPr>
      </w:pPr>
    </w:p>
    <w:p w14:paraId="42A7E146" w14:textId="77777777" w:rsidR="00DB2D38" w:rsidRDefault="00394B9B">
      <w:pPr>
        <w:pStyle w:val="Heading2"/>
        <w:spacing w:before="1"/>
      </w:pPr>
      <w:r>
        <w:t>Actions taken to enhance coordination between public and private housing and social service agencies. 91.220(k); 91.320(j)</w:t>
      </w:r>
    </w:p>
    <w:p w14:paraId="3D7A019D" w14:textId="77777777" w:rsidR="00DB2D38" w:rsidRDefault="00DB2D38">
      <w:pPr>
        <w:pStyle w:val="BodyText"/>
        <w:spacing w:before="1"/>
        <w:rPr>
          <w:rFonts w:ascii="Calibri"/>
          <w:b/>
          <w:sz w:val="20"/>
        </w:rPr>
      </w:pPr>
    </w:p>
    <w:p w14:paraId="0C9CACF2" w14:textId="44A6335F" w:rsidR="00DB2D38" w:rsidRDefault="00394B9B">
      <w:pPr>
        <w:pStyle w:val="BodyText"/>
        <w:ind w:left="1440" w:right="1438"/>
        <w:jc w:val="both"/>
      </w:pPr>
      <w:r>
        <w:t>The</w:t>
      </w:r>
      <w:r>
        <w:rPr>
          <w:spacing w:val="-5"/>
        </w:rPr>
        <w:t xml:space="preserve"> </w:t>
      </w:r>
      <w:r>
        <w:t>City</w:t>
      </w:r>
      <w:r>
        <w:rPr>
          <w:spacing w:val="-4"/>
        </w:rPr>
        <w:t xml:space="preserve"> </w:t>
      </w:r>
      <w:r w:rsidR="00C13927">
        <w:t>of Twin</w:t>
      </w:r>
      <w:r w:rsidR="005A2A7A">
        <w:t xml:space="preserve"> Falls</w:t>
      </w:r>
      <w:r>
        <w:rPr>
          <w:spacing w:val="-4"/>
        </w:rPr>
        <w:t xml:space="preserve"> </w:t>
      </w:r>
      <w:r>
        <w:t>has</w:t>
      </w:r>
      <w:r>
        <w:rPr>
          <w:spacing w:val="-5"/>
        </w:rPr>
        <w:t xml:space="preserve"> </w:t>
      </w:r>
      <w:r>
        <w:t>and</w:t>
      </w:r>
      <w:r>
        <w:rPr>
          <w:spacing w:val="-4"/>
        </w:rPr>
        <w:t xml:space="preserve"> </w:t>
      </w:r>
      <w:r>
        <w:t>will</w:t>
      </w:r>
      <w:r>
        <w:rPr>
          <w:spacing w:val="-5"/>
        </w:rPr>
        <w:t xml:space="preserve"> </w:t>
      </w:r>
      <w:r>
        <w:t>continue</w:t>
      </w:r>
      <w:r>
        <w:rPr>
          <w:spacing w:val="-5"/>
        </w:rPr>
        <w:t xml:space="preserve"> </w:t>
      </w:r>
      <w:r>
        <w:t>to</w:t>
      </w:r>
      <w:r>
        <w:rPr>
          <w:spacing w:val="-4"/>
        </w:rPr>
        <w:t xml:space="preserve"> </w:t>
      </w:r>
      <w:r>
        <w:t>participate</w:t>
      </w:r>
      <w:r>
        <w:rPr>
          <w:spacing w:val="-4"/>
        </w:rPr>
        <w:t xml:space="preserve"> </w:t>
      </w:r>
      <w:r>
        <w:t>in</w:t>
      </w:r>
      <w:r>
        <w:rPr>
          <w:spacing w:val="-5"/>
        </w:rPr>
        <w:t xml:space="preserve"> </w:t>
      </w:r>
      <w:r>
        <w:t>the</w:t>
      </w:r>
      <w:r>
        <w:rPr>
          <w:spacing w:val="-4"/>
        </w:rPr>
        <w:t xml:space="preserve"> </w:t>
      </w:r>
      <w:r>
        <w:t>Region</w:t>
      </w:r>
      <w:r>
        <w:rPr>
          <w:spacing w:val="-5"/>
        </w:rPr>
        <w:t xml:space="preserve"> </w:t>
      </w:r>
      <w:r>
        <w:t>4 Homeless</w:t>
      </w:r>
      <w:r>
        <w:rPr>
          <w:spacing w:val="-4"/>
        </w:rPr>
        <w:t xml:space="preserve"> </w:t>
      </w:r>
      <w:r>
        <w:t>Coalition</w:t>
      </w:r>
      <w:r>
        <w:rPr>
          <w:spacing w:val="-4"/>
        </w:rPr>
        <w:t xml:space="preserve"> </w:t>
      </w:r>
      <w:r>
        <w:t>to</w:t>
      </w:r>
      <w:r>
        <w:rPr>
          <w:spacing w:val="-5"/>
        </w:rPr>
        <w:t xml:space="preserve"> </w:t>
      </w:r>
      <w:r>
        <w:t>enhance</w:t>
      </w:r>
      <w:r>
        <w:rPr>
          <w:spacing w:val="-4"/>
        </w:rPr>
        <w:t xml:space="preserve"> </w:t>
      </w:r>
      <w:r>
        <w:t>coordination</w:t>
      </w:r>
      <w:r>
        <w:rPr>
          <w:spacing w:val="-6"/>
        </w:rPr>
        <w:t xml:space="preserve"> </w:t>
      </w:r>
      <w:r>
        <w:t>between</w:t>
      </w:r>
      <w:r>
        <w:rPr>
          <w:spacing w:val="-7"/>
        </w:rPr>
        <w:t xml:space="preserve"> </w:t>
      </w:r>
      <w:r>
        <w:t>public and private housing and social service</w:t>
      </w:r>
      <w:r>
        <w:rPr>
          <w:spacing w:val="-4"/>
        </w:rPr>
        <w:t xml:space="preserve"> </w:t>
      </w:r>
      <w:r>
        <w:t>agencies.</w:t>
      </w:r>
      <w:r w:rsidR="005A2A7A">
        <w:t xml:space="preserve"> </w:t>
      </w:r>
    </w:p>
    <w:p w14:paraId="708210BF" w14:textId="48C95E35" w:rsidR="005A2A7A" w:rsidRDefault="005A2A7A">
      <w:pPr>
        <w:pStyle w:val="BodyText"/>
        <w:ind w:left="1440" w:right="1438"/>
        <w:jc w:val="both"/>
      </w:pPr>
    </w:p>
    <w:p w14:paraId="71A36946" w14:textId="77777777" w:rsidR="00DB2D38" w:rsidRDefault="00DB2D38">
      <w:pPr>
        <w:pStyle w:val="BodyText"/>
        <w:spacing w:before="10"/>
        <w:rPr>
          <w:sz w:val="23"/>
        </w:rPr>
      </w:pPr>
    </w:p>
    <w:p w14:paraId="250A8676" w14:textId="77777777" w:rsidR="00DB2D38" w:rsidRDefault="00394B9B">
      <w:pPr>
        <w:pStyle w:val="Heading2"/>
        <w:spacing w:before="1" w:line="276" w:lineRule="auto"/>
        <w:ind w:right="1696"/>
      </w:pPr>
      <w:r>
        <w:t>Identify actions taken to overcome the effects of any impediments identified in the jurisdictions analysis of impediments to fair housing choice. 91.520(a)</w:t>
      </w:r>
    </w:p>
    <w:p w14:paraId="53E96422" w14:textId="72E1860F" w:rsidR="00DB2D38" w:rsidRDefault="00394B9B" w:rsidP="00675659">
      <w:pPr>
        <w:pStyle w:val="BodyText"/>
        <w:spacing w:before="201"/>
        <w:ind w:left="1440" w:right="1438"/>
        <w:jc w:val="both"/>
      </w:pPr>
      <w:r>
        <w:t>The</w:t>
      </w:r>
      <w:r>
        <w:rPr>
          <w:spacing w:val="-5"/>
        </w:rPr>
        <w:t xml:space="preserve"> </w:t>
      </w:r>
      <w:r>
        <w:t>City</w:t>
      </w:r>
      <w:r>
        <w:rPr>
          <w:spacing w:val="-4"/>
        </w:rPr>
        <w:t xml:space="preserve"> </w:t>
      </w:r>
      <w:r>
        <w:t>of</w:t>
      </w:r>
      <w:r w:rsidR="005A2A7A">
        <w:t xml:space="preserve"> Twin </w:t>
      </w:r>
      <w:r w:rsidR="00C13927">
        <w:t xml:space="preserve">Falls </w:t>
      </w:r>
      <w:r w:rsidR="00C13927">
        <w:rPr>
          <w:spacing w:val="-5"/>
        </w:rPr>
        <w:t>has</w:t>
      </w:r>
      <w:r>
        <w:rPr>
          <w:spacing w:val="-4"/>
        </w:rPr>
        <w:t xml:space="preserve"> </w:t>
      </w:r>
      <w:r>
        <w:t>and</w:t>
      </w:r>
      <w:r>
        <w:rPr>
          <w:spacing w:val="-4"/>
        </w:rPr>
        <w:t xml:space="preserve"> </w:t>
      </w:r>
      <w:r>
        <w:t>will</w:t>
      </w:r>
      <w:r>
        <w:rPr>
          <w:spacing w:val="-6"/>
        </w:rPr>
        <w:t xml:space="preserve"> </w:t>
      </w:r>
      <w:r>
        <w:t>continue</w:t>
      </w:r>
      <w:r>
        <w:rPr>
          <w:spacing w:val="-4"/>
        </w:rPr>
        <w:t xml:space="preserve"> </w:t>
      </w:r>
      <w:r>
        <w:t>to</w:t>
      </w:r>
      <w:r>
        <w:rPr>
          <w:spacing w:val="-4"/>
        </w:rPr>
        <w:t xml:space="preserve"> </w:t>
      </w:r>
      <w:r>
        <w:t>participate</w:t>
      </w:r>
      <w:r>
        <w:rPr>
          <w:spacing w:val="-5"/>
        </w:rPr>
        <w:t xml:space="preserve"> </w:t>
      </w:r>
      <w:r>
        <w:t>in</w:t>
      </w:r>
      <w:r>
        <w:rPr>
          <w:spacing w:val="-4"/>
        </w:rPr>
        <w:t xml:space="preserve"> </w:t>
      </w:r>
      <w:r>
        <w:t>the</w:t>
      </w:r>
      <w:r>
        <w:rPr>
          <w:spacing w:val="-5"/>
        </w:rPr>
        <w:t xml:space="preserve"> </w:t>
      </w:r>
      <w:r>
        <w:t>Region</w:t>
      </w:r>
      <w:r>
        <w:rPr>
          <w:spacing w:val="-5"/>
        </w:rPr>
        <w:t xml:space="preserve"> </w:t>
      </w:r>
      <w:r>
        <w:t>4</w:t>
      </w:r>
      <w:r>
        <w:rPr>
          <w:spacing w:val="2"/>
        </w:rPr>
        <w:t xml:space="preserve"> </w:t>
      </w:r>
      <w:r>
        <w:t>Homeless</w:t>
      </w:r>
      <w:r>
        <w:rPr>
          <w:spacing w:val="-5"/>
        </w:rPr>
        <w:t xml:space="preserve"> </w:t>
      </w:r>
      <w:r>
        <w:t>Coalition</w:t>
      </w:r>
      <w:r>
        <w:rPr>
          <w:spacing w:val="-4"/>
        </w:rPr>
        <w:t xml:space="preserve"> </w:t>
      </w:r>
      <w:r>
        <w:t>to</w:t>
      </w:r>
      <w:r>
        <w:rPr>
          <w:spacing w:val="-5"/>
        </w:rPr>
        <w:t xml:space="preserve"> </w:t>
      </w:r>
      <w:r>
        <w:t>enhance</w:t>
      </w:r>
      <w:r>
        <w:rPr>
          <w:spacing w:val="-4"/>
        </w:rPr>
        <w:t xml:space="preserve"> </w:t>
      </w:r>
      <w:r>
        <w:t>coordination</w:t>
      </w:r>
      <w:r>
        <w:rPr>
          <w:spacing w:val="-6"/>
        </w:rPr>
        <w:t xml:space="preserve"> </w:t>
      </w:r>
      <w:r>
        <w:t>between</w:t>
      </w:r>
      <w:r>
        <w:rPr>
          <w:spacing w:val="-7"/>
        </w:rPr>
        <w:t xml:space="preserve"> </w:t>
      </w:r>
      <w:r>
        <w:t>public and</w:t>
      </w:r>
      <w:r>
        <w:rPr>
          <w:spacing w:val="-11"/>
        </w:rPr>
        <w:t xml:space="preserve"> </w:t>
      </w:r>
      <w:r>
        <w:t>private</w:t>
      </w:r>
      <w:r>
        <w:rPr>
          <w:spacing w:val="-10"/>
        </w:rPr>
        <w:t xml:space="preserve"> </w:t>
      </w:r>
      <w:r>
        <w:t>housing</w:t>
      </w:r>
      <w:r>
        <w:rPr>
          <w:spacing w:val="-11"/>
        </w:rPr>
        <w:t xml:space="preserve"> </w:t>
      </w:r>
      <w:r>
        <w:t>and</w:t>
      </w:r>
      <w:r>
        <w:rPr>
          <w:spacing w:val="-10"/>
        </w:rPr>
        <w:t xml:space="preserve"> </w:t>
      </w:r>
      <w:r>
        <w:t>social</w:t>
      </w:r>
      <w:r>
        <w:rPr>
          <w:spacing w:val="-12"/>
        </w:rPr>
        <w:t xml:space="preserve"> </w:t>
      </w:r>
      <w:r>
        <w:t>service</w:t>
      </w:r>
      <w:r>
        <w:rPr>
          <w:spacing w:val="-11"/>
        </w:rPr>
        <w:t xml:space="preserve"> </w:t>
      </w:r>
      <w:r>
        <w:t>agencies.</w:t>
      </w:r>
      <w:r>
        <w:rPr>
          <w:spacing w:val="-9"/>
        </w:rPr>
        <w:t xml:space="preserve"> </w:t>
      </w:r>
      <w:r>
        <w:t>In</w:t>
      </w:r>
      <w:r>
        <w:rPr>
          <w:spacing w:val="-10"/>
        </w:rPr>
        <w:t xml:space="preserve"> </w:t>
      </w:r>
      <w:r>
        <w:t>addition,</w:t>
      </w:r>
      <w:r>
        <w:rPr>
          <w:spacing w:val="-11"/>
        </w:rPr>
        <w:t xml:space="preserve"> </w:t>
      </w:r>
      <w:r>
        <w:t>the</w:t>
      </w:r>
      <w:r>
        <w:rPr>
          <w:spacing w:val="-11"/>
        </w:rPr>
        <w:t xml:space="preserve"> </w:t>
      </w:r>
      <w:r>
        <w:t>City</w:t>
      </w:r>
      <w:r>
        <w:rPr>
          <w:spacing w:val="-13"/>
        </w:rPr>
        <w:t xml:space="preserve"> </w:t>
      </w:r>
      <w:r>
        <w:t>works</w:t>
      </w:r>
      <w:r>
        <w:rPr>
          <w:spacing w:val="-12"/>
        </w:rPr>
        <w:t xml:space="preserve"> </w:t>
      </w:r>
      <w:r>
        <w:t>with</w:t>
      </w:r>
      <w:r>
        <w:rPr>
          <w:spacing w:val="-10"/>
        </w:rPr>
        <w:t xml:space="preserve"> </w:t>
      </w:r>
      <w:r>
        <w:t>local</w:t>
      </w:r>
      <w:r>
        <w:rPr>
          <w:spacing w:val="-12"/>
        </w:rPr>
        <w:t xml:space="preserve"> </w:t>
      </w:r>
      <w:r>
        <w:t>homeless</w:t>
      </w:r>
      <w:r>
        <w:rPr>
          <w:spacing w:val="-12"/>
        </w:rPr>
        <w:t xml:space="preserve"> </w:t>
      </w:r>
      <w:r>
        <w:t>shelters,</w:t>
      </w:r>
      <w:r>
        <w:rPr>
          <w:spacing w:val="-12"/>
        </w:rPr>
        <w:t xml:space="preserve"> </w:t>
      </w:r>
      <w:r>
        <w:t>Community</w:t>
      </w:r>
      <w:r>
        <w:rPr>
          <w:spacing w:val="-12"/>
        </w:rPr>
        <w:t xml:space="preserve"> </w:t>
      </w:r>
      <w:r>
        <w:t xml:space="preserve">Action Partnership, the Twin Falls Housing Authority, and other community organizations that strive to prevent and reduce homelessness. The </w:t>
      </w:r>
      <w:proofErr w:type="gramStart"/>
      <w:r>
        <w:t>City</w:t>
      </w:r>
      <w:proofErr w:type="gramEnd"/>
      <w:r>
        <w:t xml:space="preserve"> took an active role in participating in the PIT Count in 2022 and will continue to take an active role in future PIT Counts. The </w:t>
      </w:r>
      <w:proofErr w:type="gramStart"/>
      <w:r>
        <w:t>City</w:t>
      </w:r>
      <w:proofErr w:type="gramEnd"/>
      <w:r>
        <w:t xml:space="preserve"> is also working to ensure an accurate count by converting the process to be able to be done online so that surveys can be done almost instantaneously with accurate locations shown. The </w:t>
      </w:r>
      <w:proofErr w:type="gramStart"/>
      <w:r>
        <w:t>City</w:t>
      </w:r>
      <w:proofErr w:type="gramEnd"/>
      <w:r>
        <w:t xml:space="preserve"> </w:t>
      </w:r>
      <w:r w:rsidR="00AD5EC0">
        <w:t xml:space="preserve">took </w:t>
      </w:r>
      <w:r>
        <w:t>an active role in the PIT count in January 2023 to better determine the current homeless population in Twin</w:t>
      </w:r>
      <w:r>
        <w:rPr>
          <w:spacing w:val="-5"/>
        </w:rPr>
        <w:t xml:space="preserve"> </w:t>
      </w:r>
      <w:r>
        <w:t>Falls.</w:t>
      </w:r>
    </w:p>
    <w:p w14:paraId="1827966B" w14:textId="77777777" w:rsidR="00DB2D38" w:rsidRDefault="00DB2D38">
      <w:pPr>
        <w:pStyle w:val="BodyText"/>
        <w:spacing w:before="5"/>
        <w:rPr>
          <w:sz w:val="22"/>
        </w:rPr>
      </w:pPr>
    </w:p>
    <w:p w14:paraId="41C2406B" w14:textId="77777777" w:rsidR="00DB2D38" w:rsidRDefault="00394B9B">
      <w:pPr>
        <w:pStyle w:val="Heading1"/>
      </w:pPr>
      <w:r>
        <w:t>CR-40 - Monitoring 91.220 and 91.230</w:t>
      </w:r>
    </w:p>
    <w:p w14:paraId="542E0F87" w14:textId="77777777" w:rsidR="00DB2D38" w:rsidRDefault="00394B9B">
      <w:pPr>
        <w:pStyle w:val="Heading2"/>
        <w:spacing w:before="109" w:line="276" w:lineRule="auto"/>
        <w:ind w:right="1605"/>
      </w:pPr>
      <w:r>
        <w:t xml:space="preserve">Describe the standards and procedures used to monitor activities carried out in furtherance of the plan and used to ensure long- term compliance with requirements of the programs involved, including minority business outreach and the comprehensive planning </w:t>
      </w:r>
      <w:proofErr w:type="gramStart"/>
      <w:r>
        <w:t>requirements</w:t>
      </w:r>
      <w:proofErr w:type="gramEnd"/>
    </w:p>
    <w:p w14:paraId="061692E6" w14:textId="50E0F332" w:rsidR="00DB2D38" w:rsidRDefault="00394B9B" w:rsidP="00675659">
      <w:pPr>
        <w:pStyle w:val="BodyText"/>
        <w:spacing w:before="200" w:line="276" w:lineRule="auto"/>
        <w:ind w:left="1440" w:right="1613"/>
        <w:jc w:val="both"/>
      </w:pPr>
      <w:r>
        <w:t xml:space="preserve">The City is in the process of developing policies and procedures for the furtherance of the plan. These will assist the </w:t>
      </w:r>
      <w:proofErr w:type="gramStart"/>
      <w:r>
        <w:t>City</w:t>
      </w:r>
      <w:proofErr w:type="gramEnd"/>
      <w:r>
        <w:t xml:space="preserve"> in staying in compliance with the requirements of the program in the coming program year</w:t>
      </w:r>
      <w:r w:rsidR="00C13927">
        <w:t>s</w:t>
      </w:r>
      <w:r>
        <w:t>.</w:t>
      </w:r>
    </w:p>
    <w:p w14:paraId="57E09D67" w14:textId="77777777" w:rsidR="00842132" w:rsidRDefault="00307404" w:rsidP="00842132">
      <w:pPr>
        <w:pStyle w:val="BodyText"/>
        <w:spacing w:before="200" w:line="276" w:lineRule="auto"/>
        <w:ind w:left="1440" w:right="1613"/>
        <w:jc w:val="both"/>
      </w:pPr>
      <w:r w:rsidRPr="00093921">
        <w:t xml:space="preserve">The </w:t>
      </w:r>
      <w:proofErr w:type="gramStart"/>
      <w:r w:rsidRPr="00093921">
        <w:t>City</w:t>
      </w:r>
      <w:proofErr w:type="gramEnd"/>
      <w:r w:rsidRPr="00093921">
        <w:t xml:space="preserve"> created a Workout Plan to address not being in compliance with the spending requirements of having no more than 1.5% of the current grant amount in the Line of Credit for two years in a row. The Workout Plan outlines how the City will address project and financial management of the CDBG</w:t>
      </w:r>
      <w:r w:rsidR="00842132" w:rsidRPr="00093921">
        <w:t xml:space="preserve"> grant for the next program year.</w:t>
      </w:r>
    </w:p>
    <w:p w14:paraId="2B0E47C4" w14:textId="518AE0D8" w:rsidR="00DB2D38" w:rsidRDefault="00394B9B" w:rsidP="00842132">
      <w:pPr>
        <w:pStyle w:val="BodyText"/>
        <w:spacing w:before="200" w:line="276" w:lineRule="auto"/>
        <w:ind w:left="1440" w:right="1613"/>
        <w:jc w:val="both"/>
      </w:pPr>
      <w:r>
        <w:t>Citizen Participation Plan 91.105(d); 91.115(d)</w:t>
      </w:r>
    </w:p>
    <w:p w14:paraId="5DE3E53F" w14:textId="77777777" w:rsidR="00DB2D38" w:rsidRDefault="00DB2D38">
      <w:pPr>
        <w:pStyle w:val="BodyText"/>
        <w:spacing w:before="1"/>
        <w:rPr>
          <w:rFonts w:ascii="Calibri"/>
          <w:b/>
          <w:sz w:val="20"/>
        </w:rPr>
      </w:pPr>
    </w:p>
    <w:p w14:paraId="0ADE80D3" w14:textId="77777777" w:rsidR="00DB2D38" w:rsidRDefault="00394B9B">
      <w:pPr>
        <w:ind w:left="1440"/>
        <w:rPr>
          <w:rFonts w:ascii="Calibri"/>
          <w:sz w:val="24"/>
        </w:rPr>
      </w:pPr>
      <w:r>
        <w:rPr>
          <w:rFonts w:ascii="Calibri"/>
          <w:b/>
          <w:sz w:val="24"/>
        </w:rPr>
        <w:t>Describe the efforts to provide citizens with reasonable notice and an opportunity to comment on performance reports</w:t>
      </w:r>
      <w:r>
        <w:rPr>
          <w:rFonts w:ascii="Calibri"/>
          <w:sz w:val="24"/>
        </w:rPr>
        <w:t>.</w:t>
      </w:r>
    </w:p>
    <w:p w14:paraId="1500D773" w14:textId="77777777" w:rsidR="00DB2D38" w:rsidRDefault="00DB2D38">
      <w:pPr>
        <w:pStyle w:val="BodyText"/>
        <w:spacing w:before="11"/>
        <w:rPr>
          <w:rFonts w:ascii="Calibri"/>
          <w:sz w:val="19"/>
        </w:rPr>
      </w:pPr>
    </w:p>
    <w:p w14:paraId="5C56247A" w14:textId="7DC58034" w:rsidR="00DB2D38" w:rsidRDefault="00394B9B" w:rsidP="00675659">
      <w:pPr>
        <w:pStyle w:val="BodyText"/>
        <w:spacing w:line="276" w:lineRule="auto"/>
        <w:ind w:left="1440" w:right="1467"/>
        <w:jc w:val="both"/>
      </w:pPr>
      <w:r>
        <w:t xml:space="preserve">The City of Twin Falls follows its Citizen Participation Plan to provide citizens with reasonable notice and an opportunity to comment on performance reports. For program year </w:t>
      </w:r>
      <w:r w:rsidR="002157A9">
        <w:t>202</w:t>
      </w:r>
      <w:r w:rsidR="00307404">
        <w:t>2</w:t>
      </w:r>
      <w:r>
        <w:t xml:space="preserve">, opportunities to comment were made through the announcement and advertisement of the upcoming public hearing for the </w:t>
      </w:r>
      <w:r w:rsidR="002157A9">
        <w:t>202</w:t>
      </w:r>
      <w:r w:rsidR="00307404">
        <w:t>2</w:t>
      </w:r>
      <w:r>
        <w:t xml:space="preserve"> Program year CAPER. </w:t>
      </w:r>
      <w:r w:rsidRPr="00093921">
        <w:t xml:space="preserve">The CAPER will be presented on December </w:t>
      </w:r>
      <w:r w:rsidR="00093921" w:rsidRPr="00093921">
        <w:t>18</w:t>
      </w:r>
      <w:r w:rsidRPr="00093921">
        <w:t>, 202</w:t>
      </w:r>
      <w:r w:rsidR="00307404" w:rsidRPr="00093921">
        <w:t>3</w:t>
      </w:r>
      <w:r w:rsidRPr="00093921">
        <w:t>, to the Mayor, City Council and Citizens and input will be encouraged throughout the comment period.</w:t>
      </w:r>
    </w:p>
    <w:p w14:paraId="6FC24405" w14:textId="77777777" w:rsidR="00DB2D38" w:rsidRDefault="00DB2D38" w:rsidP="00675659">
      <w:pPr>
        <w:pStyle w:val="BodyText"/>
        <w:jc w:val="both"/>
        <w:rPr>
          <w:sz w:val="26"/>
        </w:rPr>
      </w:pPr>
    </w:p>
    <w:p w14:paraId="0AB85CA5" w14:textId="77777777" w:rsidR="00DB2D38" w:rsidRDefault="00DB2D38">
      <w:pPr>
        <w:pStyle w:val="BodyText"/>
        <w:spacing w:before="2"/>
        <w:rPr>
          <w:sz w:val="38"/>
        </w:rPr>
      </w:pPr>
    </w:p>
    <w:p w14:paraId="5DC6DDE9" w14:textId="77777777" w:rsidR="00DB2D38" w:rsidRDefault="00394B9B">
      <w:pPr>
        <w:pStyle w:val="Heading1"/>
        <w:spacing w:before="1"/>
      </w:pPr>
      <w:r>
        <w:t>CR-45 - CDBG 91.520(c)</w:t>
      </w:r>
    </w:p>
    <w:p w14:paraId="313C27C9" w14:textId="77777777" w:rsidR="00DB2D38" w:rsidRDefault="00394B9B">
      <w:pPr>
        <w:pStyle w:val="Heading2"/>
        <w:spacing w:before="250" w:line="276" w:lineRule="auto"/>
        <w:ind w:right="1478"/>
      </w:pPr>
      <w:r>
        <w:t xml:space="preserve">Specify the nature of, and reasons for, any changes in the jurisdiction’s program objectives and indications of how the jurisdiction would change its programs </w:t>
      </w:r>
      <w:proofErr w:type="gramStart"/>
      <w:r>
        <w:t>as a result of</w:t>
      </w:r>
      <w:proofErr w:type="gramEnd"/>
      <w:r>
        <w:t xml:space="preserve"> its experiences.</w:t>
      </w:r>
    </w:p>
    <w:p w14:paraId="6BCF1253" w14:textId="77777777" w:rsidR="00DB2D38" w:rsidRDefault="00394B9B" w:rsidP="00675659">
      <w:pPr>
        <w:pStyle w:val="BodyText"/>
        <w:spacing w:before="202"/>
        <w:ind w:left="1440"/>
        <w:jc w:val="both"/>
      </w:pPr>
      <w:r>
        <w:t>No changes were made during the program year.</w:t>
      </w:r>
    </w:p>
    <w:p w14:paraId="01FEDEDC" w14:textId="77777777" w:rsidR="00DB2D38" w:rsidRDefault="00DB2D38">
      <w:pPr>
        <w:pStyle w:val="BodyText"/>
        <w:spacing w:before="11"/>
        <w:rPr>
          <w:sz w:val="20"/>
        </w:rPr>
      </w:pPr>
    </w:p>
    <w:p w14:paraId="29B85632" w14:textId="77777777" w:rsidR="00DB2D38" w:rsidRDefault="00394B9B">
      <w:pPr>
        <w:pStyle w:val="Heading2"/>
      </w:pPr>
      <w:r>
        <w:t>Does this Jurisdiction have any open Brownfields Economic Development Initiative (BEDI) grants?</w:t>
      </w:r>
    </w:p>
    <w:p w14:paraId="1FCF7F74" w14:textId="77777777" w:rsidR="00DB2D38" w:rsidRDefault="00DB2D38">
      <w:pPr>
        <w:pStyle w:val="BodyText"/>
        <w:spacing w:before="11"/>
        <w:rPr>
          <w:rFonts w:ascii="Calibri"/>
          <w:b/>
          <w:sz w:val="19"/>
        </w:rPr>
      </w:pPr>
    </w:p>
    <w:p w14:paraId="765953F6" w14:textId="77777777" w:rsidR="00DB2D38" w:rsidRDefault="00394B9B">
      <w:pPr>
        <w:pStyle w:val="BodyText"/>
        <w:ind w:left="1440"/>
      </w:pPr>
      <w:r>
        <w:t>No.</w:t>
      </w:r>
    </w:p>
    <w:p w14:paraId="5BF707DD" w14:textId="77777777" w:rsidR="00DB2D38" w:rsidRDefault="00DB2D38">
      <w:pPr>
        <w:pStyle w:val="BodyText"/>
        <w:spacing w:before="1"/>
        <w:rPr>
          <w:sz w:val="21"/>
        </w:rPr>
      </w:pPr>
    </w:p>
    <w:p w14:paraId="394C9544" w14:textId="179698FF" w:rsidR="00DB2D38" w:rsidRDefault="00394B9B" w:rsidP="00987A4D">
      <w:pPr>
        <w:pStyle w:val="Heading2"/>
        <w:ind w:left="1495"/>
        <w:rPr>
          <w:rFonts w:ascii="Times New Roman"/>
          <w:sz w:val="17"/>
        </w:rPr>
      </w:pPr>
      <w:r>
        <w:t>[BEDI grantees] Describe accomplishments and program outcomes during the last year.</w:t>
      </w:r>
    </w:p>
    <w:sectPr w:rsidR="00DB2D38">
      <w:pgSz w:w="15840" w:h="12240" w:orient="landscape"/>
      <w:pgMar w:top="1140" w:right="0" w:bottom="1200" w:left="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4197" w14:textId="77777777" w:rsidR="002B3A2E" w:rsidRDefault="00394B9B">
      <w:r>
        <w:separator/>
      </w:r>
    </w:p>
  </w:endnote>
  <w:endnote w:type="continuationSeparator" w:id="0">
    <w:p w14:paraId="19E1E1BA" w14:textId="77777777" w:rsidR="002B3A2E" w:rsidRDefault="0039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84C4" w14:textId="23D2F03B" w:rsidR="00DB2D38" w:rsidRDefault="00DB2D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1428" w14:textId="77777777" w:rsidR="002B3A2E" w:rsidRDefault="00394B9B">
      <w:r>
        <w:separator/>
      </w:r>
    </w:p>
  </w:footnote>
  <w:footnote w:type="continuationSeparator" w:id="0">
    <w:p w14:paraId="245C61B0" w14:textId="77777777" w:rsidR="002B3A2E" w:rsidRDefault="00394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4577">
      <o:colormenu v:ext="edit" fillcolor="none [2404]"/>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38"/>
    <w:rsid w:val="00093921"/>
    <w:rsid w:val="000C3551"/>
    <w:rsid w:val="000F48BA"/>
    <w:rsid w:val="00145CE4"/>
    <w:rsid w:val="002157A9"/>
    <w:rsid w:val="00227D14"/>
    <w:rsid w:val="002B3A2E"/>
    <w:rsid w:val="002D4BB9"/>
    <w:rsid w:val="002E06E4"/>
    <w:rsid w:val="00307404"/>
    <w:rsid w:val="00394B9B"/>
    <w:rsid w:val="003C62C2"/>
    <w:rsid w:val="003D082F"/>
    <w:rsid w:val="004E6670"/>
    <w:rsid w:val="0054389F"/>
    <w:rsid w:val="005A2A7A"/>
    <w:rsid w:val="00670DFF"/>
    <w:rsid w:val="00675659"/>
    <w:rsid w:val="006C31CA"/>
    <w:rsid w:val="007B53D4"/>
    <w:rsid w:val="00807150"/>
    <w:rsid w:val="00842132"/>
    <w:rsid w:val="008C70A1"/>
    <w:rsid w:val="00987A4D"/>
    <w:rsid w:val="009E3E93"/>
    <w:rsid w:val="00A6613F"/>
    <w:rsid w:val="00AD5EC0"/>
    <w:rsid w:val="00AE022D"/>
    <w:rsid w:val="00B31D3C"/>
    <w:rsid w:val="00B5310A"/>
    <w:rsid w:val="00BA2DAD"/>
    <w:rsid w:val="00C04B93"/>
    <w:rsid w:val="00C13927"/>
    <w:rsid w:val="00CB102A"/>
    <w:rsid w:val="00CD3ECC"/>
    <w:rsid w:val="00CE7983"/>
    <w:rsid w:val="00DB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colormenu v:ext="edit" fillcolor="none [2404]"/>
    </o:shapedefaults>
    <o:shapelayout v:ext="edit">
      <o:idmap v:ext="edit" data="1"/>
    </o:shapelayout>
  </w:shapeDefaults>
  <w:decimalSymbol w:val="."/>
  <w:listSeparator w:val=","/>
  <w14:docId w14:val="65DF44B8"/>
  <w15:docId w15:val="{213A2ECE-4E8C-49CD-9F68-171BCC24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44"/>
      <w:ind w:left="1440"/>
      <w:outlineLvl w:val="0"/>
    </w:pPr>
    <w:rPr>
      <w:rFonts w:ascii="Calibri" w:eastAsia="Calibri" w:hAnsi="Calibri" w:cs="Calibri"/>
      <w:b/>
      <w:bCs/>
      <w:sz w:val="28"/>
      <w:szCs w:val="28"/>
    </w:rPr>
  </w:style>
  <w:style w:type="paragraph" w:styleId="Heading2">
    <w:name w:val="heading 2"/>
    <w:basedOn w:val="Normal"/>
    <w:uiPriority w:val="9"/>
    <w:unhideWhenUsed/>
    <w:qFormat/>
    <w:pPr>
      <w:ind w:left="144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table" w:styleId="TableGrid">
    <w:name w:val="Table Grid"/>
    <w:basedOn w:val="TableNormal"/>
    <w:uiPriority w:val="99"/>
    <w:rsid w:val="00B5310A"/>
    <w:pPr>
      <w:widowControl/>
      <w:autoSpaceDE/>
      <w:autoSpaceDN/>
      <w:spacing w:after="200" w:line="276" w:lineRule="auto"/>
    </w:pPr>
    <w:rPr>
      <w:rFonts w:ascii="Calibri" w:eastAsia="Times New Roman" w:hAnsi="Calibri" w:cs="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389F"/>
    <w:pPr>
      <w:tabs>
        <w:tab w:val="center" w:pos="4680"/>
        <w:tab w:val="right" w:pos="9360"/>
      </w:tabs>
    </w:pPr>
  </w:style>
  <w:style w:type="character" w:customStyle="1" w:styleId="HeaderChar">
    <w:name w:val="Header Char"/>
    <w:basedOn w:val="DefaultParagraphFont"/>
    <w:link w:val="Header"/>
    <w:uiPriority w:val="99"/>
    <w:rsid w:val="0054389F"/>
    <w:rPr>
      <w:rFonts w:ascii="Arial" w:eastAsia="Arial" w:hAnsi="Arial" w:cs="Arial"/>
      <w:lang w:bidi="en-US"/>
    </w:rPr>
  </w:style>
  <w:style w:type="paragraph" w:styleId="Footer">
    <w:name w:val="footer"/>
    <w:basedOn w:val="Normal"/>
    <w:link w:val="FooterChar"/>
    <w:uiPriority w:val="99"/>
    <w:unhideWhenUsed/>
    <w:rsid w:val="0054389F"/>
    <w:pPr>
      <w:tabs>
        <w:tab w:val="center" w:pos="4680"/>
        <w:tab w:val="right" w:pos="9360"/>
      </w:tabs>
    </w:pPr>
  </w:style>
  <w:style w:type="character" w:customStyle="1" w:styleId="FooterChar">
    <w:name w:val="Footer Char"/>
    <w:basedOn w:val="DefaultParagraphFont"/>
    <w:link w:val="Footer"/>
    <w:uiPriority w:val="99"/>
    <w:rsid w:val="0054389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16</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Here is some text</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Kelli Ebersole</cp:lastModifiedBy>
  <cp:revision>9</cp:revision>
  <cp:lastPrinted>2023-10-31T15:45:00Z</cp:lastPrinted>
  <dcterms:created xsi:type="dcterms:W3CDTF">2023-10-31T15:46:00Z</dcterms:created>
  <dcterms:modified xsi:type="dcterms:W3CDTF">2023-11-15T21:41:00Z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2021-11-22T00:00:00Z</vt:filetime>
  </property>
  <property fmtid="{D5CDD505-2E9C-101B-9397-08002B2CF9AE}" pid="3" name="Creator">
    <vt:lpwstr>Microsoft® Word for Microsoft 365</vt:lpwstr>
  </property>
  <property fmtid="{D5CDD505-2E9C-101B-9397-08002B2CF9AE}" pid="4" name="LastSaved">
    <vt:filetime>2022-10-11T00:00:00Z</vt:filetime>
  </property>
</Properties>
</file>